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1. Плательщиками налога на транспортные средства являются физические лица, имеющие объекты налогообложения на праве собственности, и юридические лица, имеющие объекты налогообложения на праве собственности, хозяйственного ведения или оперативного управления, если иное не установлено настоящей статьей.</w:t>
      </w:r>
    </w:p>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3. Если иное не установлено настоящей статьей, не являются плательщиками налога на транспортные средства:</w:t>
      </w:r>
    </w:p>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 xml:space="preserve">      1) юридические лица – производители сельскохозяйственной продукции, продукции </w:t>
      </w:r>
      <w:proofErr w:type="spellStart"/>
      <w:r w:rsidRPr="00ED7418">
        <w:rPr>
          <w:rFonts w:ascii="Arial" w:eastAsia="Times New Roman" w:hAnsi="Arial" w:cs="Arial"/>
          <w:color w:val="222222"/>
          <w:sz w:val="24"/>
          <w:szCs w:val="24"/>
        </w:rPr>
        <w:t>аквакультуры</w:t>
      </w:r>
      <w:proofErr w:type="spellEnd"/>
      <w:r w:rsidRPr="00ED7418">
        <w:rPr>
          <w:rFonts w:ascii="Arial" w:eastAsia="Times New Roman" w:hAnsi="Arial" w:cs="Arial"/>
          <w:color w:val="222222"/>
          <w:sz w:val="24"/>
          <w:szCs w:val="24"/>
        </w:rPr>
        <w:t xml:space="preserve"> (рыбоводства), а также глава и (или) члены крестьянского или фермерского хозяйства по специализированной сельскохозяйственной технике, включенной в перечень, </w:t>
      </w:r>
      <w:hyperlink r:id="rId4" w:anchor="z4" w:history="1">
        <w:r w:rsidRPr="00A43A24">
          <w:rPr>
            <w:rFonts w:ascii="Arial" w:eastAsia="Times New Roman" w:hAnsi="Arial" w:cs="Arial"/>
            <w:color w:val="0000FF"/>
            <w:sz w:val="24"/>
            <w:szCs w:val="24"/>
            <w:u w:val="single"/>
          </w:rPr>
          <w:t>установленный</w:t>
        </w:r>
      </w:hyperlink>
      <w:r w:rsidRPr="00ED7418">
        <w:rPr>
          <w:rFonts w:ascii="Arial" w:eastAsia="Times New Roman" w:hAnsi="Arial" w:cs="Arial"/>
          <w:color w:val="222222"/>
          <w:sz w:val="24"/>
          <w:szCs w:val="24"/>
        </w:rPr>
        <w:t> Правительством Республики Казахстан;</w:t>
      </w:r>
      <w:r w:rsidRPr="00ED7418">
        <w:rPr>
          <w:rFonts w:ascii="Arial" w:eastAsia="Times New Roman" w:hAnsi="Arial" w:cs="Arial"/>
          <w:color w:val="222222"/>
          <w:sz w:val="24"/>
          <w:szCs w:val="24"/>
        </w:rPr>
        <w:br/>
        <w:t xml:space="preserve">      </w:t>
      </w:r>
      <w:proofErr w:type="gramStart"/>
      <w:r w:rsidRPr="00ED7418">
        <w:rPr>
          <w:rFonts w:ascii="Arial" w:eastAsia="Times New Roman" w:hAnsi="Arial" w:cs="Arial"/>
          <w:color w:val="222222"/>
          <w:sz w:val="24"/>
          <w:szCs w:val="24"/>
        </w:rPr>
        <w:t xml:space="preserve">2) юридические лица – производители сельскохозяйственной продукции, продукции </w:t>
      </w:r>
      <w:proofErr w:type="spellStart"/>
      <w:r w:rsidRPr="00ED7418">
        <w:rPr>
          <w:rFonts w:ascii="Arial" w:eastAsia="Times New Roman" w:hAnsi="Arial" w:cs="Arial"/>
          <w:color w:val="222222"/>
          <w:sz w:val="24"/>
          <w:szCs w:val="24"/>
        </w:rPr>
        <w:t>аквакультуры</w:t>
      </w:r>
      <w:proofErr w:type="spellEnd"/>
      <w:r w:rsidRPr="00ED7418">
        <w:rPr>
          <w:rFonts w:ascii="Arial" w:eastAsia="Times New Roman" w:hAnsi="Arial" w:cs="Arial"/>
          <w:color w:val="222222"/>
          <w:sz w:val="24"/>
          <w:szCs w:val="24"/>
        </w:rPr>
        <w:t xml:space="preserve"> (рыбоводства), налогооблагаемый доход которых облагается по ставке, установленной </w:t>
      </w:r>
      <w:hyperlink r:id="rId5" w:anchor="z1667" w:history="1">
        <w:r w:rsidRPr="00A43A24">
          <w:rPr>
            <w:rFonts w:ascii="Arial" w:eastAsia="Times New Roman" w:hAnsi="Arial" w:cs="Arial"/>
            <w:color w:val="0000FF"/>
            <w:sz w:val="24"/>
            <w:szCs w:val="24"/>
            <w:u w:val="single"/>
          </w:rPr>
          <w:t>пунктом 2</w:t>
        </w:r>
      </w:hyperlink>
      <w:r w:rsidRPr="00ED7418">
        <w:rPr>
          <w:rFonts w:ascii="Arial" w:eastAsia="Times New Roman" w:hAnsi="Arial" w:cs="Arial"/>
          <w:color w:val="222222"/>
          <w:sz w:val="24"/>
          <w:szCs w:val="24"/>
        </w:rPr>
        <w:t> статьи 147 настоящего Кодекса, применяющие общеустановленный порядок налогообложения, а также глава и (или) члены крестьянского или фермерского хозяйства по легковым и грузовым транспортным средствам в пределах нормативов потребности, </w:t>
      </w:r>
      <w:hyperlink r:id="rId6" w:anchor="z4" w:history="1">
        <w:r w:rsidRPr="00A43A24">
          <w:rPr>
            <w:rFonts w:ascii="Arial" w:eastAsia="Times New Roman" w:hAnsi="Arial" w:cs="Arial"/>
            <w:color w:val="0000FF"/>
            <w:sz w:val="24"/>
            <w:szCs w:val="24"/>
            <w:u w:val="single"/>
          </w:rPr>
          <w:t>установленных</w:t>
        </w:r>
      </w:hyperlink>
      <w:r w:rsidRPr="00ED7418">
        <w:rPr>
          <w:rFonts w:ascii="Arial" w:eastAsia="Times New Roman" w:hAnsi="Arial" w:cs="Arial"/>
          <w:color w:val="222222"/>
          <w:sz w:val="24"/>
          <w:szCs w:val="24"/>
        </w:rPr>
        <w:t> Правительством Республики Казахстан;</w:t>
      </w:r>
      <w:proofErr w:type="gramEnd"/>
      <w:r w:rsidRPr="00ED7418">
        <w:rPr>
          <w:rFonts w:ascii="Arial" w:eastAsia="Times New Roman" w:hAnsi="Arial" w:cs="Arial"/>
          <w:color w:val="222222"/>
          <w:sz w:val="24"/>
          <w:szCs w:val="24"/>
        </w:rPr>
        <w:br/>
        <w:t>      3) государственные учреждения; </w:t>
      </w:r>
      <w:r w:rsidRPr="00ED7418">
        <w:rPr>
          <w:rFonts w:ascii="Arial" w:eastAsia="Times New Roman" w:hAnsi="Arial" w:cs="Arial"/>
          <w:color w:val="222222"/>
          <w:sz w:val="24"/>
          <w:szCs w:val="24"/>
        </w:rPr>
        <w:br/>
        <w:t xml:space="preserve">      </w:t>
      </w:r>
      <w:proofErr w:type="gramStart"/>
      <w:r w:rsidRPr="00ED7418">
        <w:rPr>
          <w:rFonts w:ascii="Arial" w:eastAsia="Times New Roman" w:hAnsi="Arial" w:cs="Arial"/>
          <w:color w:val="222222"/>
          <w:sz w:val="24"/>
          <w:szCs w:val="24"/>
        </w:rPr>
        <w:t>4)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w:t>
      </w:r>
      <w:proofErr w:type="gramEnd"/>
      <w:r w:rsidRPr="00ED7418">
        <w:rPr>
          <w:rFonts w:ascii="Arial" w:eastAsia="Times New Roman" w:hAnsi="Arial" w:cs="Arial"/>
          <w:color w:val="222222"/>
          <w:sz w:val="24"/>
          <w:szCs w:val="24"/>
        </w:rPr>
        <w:t xml:space="preserve"> за самоотверженный труд и безупречную воинскую службу в тылу в годы Великой Отечественной войны, - по одному автотранспортному средству, являющемуся объектом обложения налогом; </w:t>
      </w:r>
      <w:r w:rsidRPr="00ED7418">
        <w:rPr>
          <w:rFonts w:ascii="Arial" w:eastAsia="Times New Roman" w:hAnsi="Arial" w:cs="Arial"/>
          <w:color w:val="222222"/>
          <w:sz w:val="24"/>
          <w:szCs w:val="24"/>
        </w:rPr>
        <w:br/>
        <w:t>      5) инвалиды по имеющимся в собственности мотоколяскам и автомобилям - по одному автотранспортному средству, являющемуся объектом обложения налогом; </w:t>
      </w:r>
      <w:r w:rsidRPr="00ED7418">
        <w:rPr>
          <w:rFonts w:ascii="Arial" w:eastAsia="Times New Roman" w:hAnsi="Arial" w:cs="Arial"/>
          <w:color w:val="222222"/>
          <w:sz w:val="24"/>
          <w:szCs w:val="24"/>
        </w:rPr>
        <w:br/>
        <w:t>      6) герои Советского Союза и герои Социалистического Труда, лица, удостоенные званий "Халық қаhарманы", "Қазақстанны</w:t>
      </w:r>
      <w:proofErr w:type="gramStart"/>
      <w:r w:rsidRPr="00ED7418">
        <w:rPr>
          <w:rFonts w:ascii="Arial" w:eastAsia="Times New Roman" w:hAnsi="Arial" w:cs="Arial"/>
          <w:color w:val="222222"/>
          <w:sz w:val="24"/>
          <w:szCs w:val="24"/>
        </w:rPr>
        <w:t>ң Е</w:t>
      </w:r>
      <w:proofErr w:type="gramEnd"/>
      <w:r w:rsidRPr="00ED7418">
        <w:rPr>
          <w:rFonts w:ascii="Arial" w:eastAsia="Times New Roman" w:hAnsi="Arial" w:cs="Arial"/>
          <w:color w:val="222222"/>
          <w:sz w:val="24"/>
          <w:szCs w:val="24"/>
        </w:rPr>
        <w:t xml:space="preserve">ңбек </w:t>
      </w:r>
      <w:proofErr w:type="spellStart"/>
      <w:r w:rsidRPr="00ED7418">
        <w:rPr>
          <w:rFonts w:ascii="Arial" w:eastAsia="Times New Roman" w:hAnsi="Arial" w:cs="Arial"/>
          <w:color w:val="222222"/>
          <w:sz w:val="24"/>
          <w:szCs w:val="24"/>
        </w:rPr>
        <w:t>Ері</w:t>
      </w:r>
      <w:proofErr w:type="spellEnd"/>
      <w:r w:rsidRPr="00ED7418">
        <w:rPr>
          <w:rFonts w:ascii="Arial" w:eastAsia="Times New Roman" w:hAnsi="Arial" w:cs="Arial"/>
          <w:color w:val="222222"/>
          <w:sz w:val="24"/>
          <w:szCs w:val="24"/>
        </w:rPr>
        <w:t>", награжденные орденом Славы трех степеней и орденом "</w:t>
      </w:r>
      <w:proofErr w:type="spellStart"/>
      <w:r w:rsidRPr="00ED7418">
        <w:rPr>
          <w:rFonts w:ascii="Arial" w:eastAsia="Times New Roman" w:hAnsi="Arial" w:cs="Arial"/>
          <w:color w:val="222222"/>
          <w:sz w:val="24"/>
          <w:szCs w:val="24"/>
        </w:rPr>
        <w:t>Отан</w:t>
      </w:r>
      <w:proofErr w:type="spellEnd"/>
      <w:r w:rsidRPr="00ED7418">
        <w:rPr>
          <w:rFonts w:ascii="Arial" w:eastAsia="Times New Roman" w:hAnsi="Arial" w:cs="Arial"/>
          <w:color w:val="222222"/>
          <w:sz w:val="24"/>
          <w:szCs w:val="24"/>
        </w:rPr>
        <w:t>", многодетные матери, удостоенные звания "Мать-героиня", награжденные подвесками "Алтын алқа", "Күмiс алқа", - по одному автотранспортному средству, являющемуся объектом обложения налогом; </w:t>
      </w:r>
      <w:r w:rsidRPr="00ED7418">
        <w:rPr>
          <w:rFonts w:ascii="Arial" w:eastAsia="Times New Roman" w:hAnsi="Arial" w:cs="Arial"/>
          <w:color w:val="222222"/>
          <w:sz w:val="24"/>
          <w:szCs w:val="24"/>
        </w:rPr>
        <w:br/>
        <w:t>      7) физические лица - по грузовым автомобилям со сроком эксплуатации более семи лет, полученным в качестве пая в результате выхода из сельскохозяйственного формирования. </w:t>
      </w:r>
      <w:r w:rsidRPr="00ED7418">
        <w:rPr>
          <w:rFonts w:ascii="Arial" w:eastAsia="Times New Roman" w:hAnsi="Arial" w:cs="Arial"/>
          <w:color w:val="222222"/>
          <w:sz w:val="24"/>
          <w:szCs w:val="24"/>
        </w:rPr>
        <w:br/>
        <w:t>      Положения подпунктов 1) и 2) части первой настоящего пункта не применяются в случаях передачи таких транспортных сре</w:t>
      </w:r>
      <w:proofErr w:type="gramStart"/>
      <w:r w:rsidRPr="00ED7418">
        <w:rPr>
          <w:rFonts w:ascii="Arial" w:eastAsia="Times New Roman" w:hAnsi="Arial" w:cs="Arial"/>
          <w:color w:val="222222"/>
          <w:sz w:val="24"/>
          <w:szCs w:val="24"/>
        </w:rPr>
        <w:t>дств в п</w:t>
      </w:r>
      <w:proofErr w:type="gramEnd"/>
      <w:r w:rsidRPr="00ED7418">
        <w:rPr>
          <w:rFonts w:ascii="Arial" w:eastAsia="Times New Roman" w:hAnsi="Arial" w:cs="Arial"/>
          <w:color w:val="222222"/>
          <w:sz w:val="24"/>
          <w:szCs w:val="24"/>
        </w:rPr>
        <w:t>ользование, доверительное управление или аренду.</w:t>
      </w:r>
      <w:r w:rsidRPr="00ED7418">
        <w:rPr>
          <w:rFonts w:ascii="Arial" w:eastAsia="Times New Roman" w:hAnsi="Arial" w:cs="Arial"/>
          <w:color w:val="222222"/>
          <w:sz w:val="24"/>
          <w:szCs w:val="24"/>
        </w:rPr>
        <w:br/>
        <w:t>      Норма, предусмотренная </w:t>
      </w:r>
      <w:hyperlink r:id="rId7" w:anchor="z3889" w:history="1">
        <w:r w:rsidRPr="00A43A24">
          <w:rPr>
            <w:rFonts w:ascii="Arial" w:eastAsia="Times New Roman" w:hAnsi="Arial" w:cs="Arial"/>
            <w:color w:val="0000FF"/>
            <w:sz w:val="24"/>
            <w:szCs w:val="24"/>
            <w:u w:val="single"/>
          </w:rPr>
          <w:t>подпунктами 4)</w:t>
        </w:r>
      </w:hyperlink>
      <w:r w:rsidRPr="00ED7418">
        <w:rPr>
          <w:rFonts w:ascii="Arial" w:eastAsia="Times New Roman" w:hAnsi="Arial" w:cs="Arial"/>
          <w:color w:val="222222"/>
          <w:sz w:val="24"/>
          <w:szCs w:val="24"/>
        </w:rPr>
        <w:t> – </w:t>
      </w:r>
      <w:hyperlink r:id="rId8" w:anchor="z3891" w:history="1">
        <w:r w:rsidRPr="00A43A24">
          <w:rPr>
            <w:rFonts w:ascii="Arial" w:eastAsia="Times New Roman" w:hAnsi="Arial" w:cs="Arial"/>
            <w:color w:val="0000FF"/>
            <w:sz w:val="24"/>
            <w:szCs w:val="24"/>
            <w:u w:val="single"/>
          </w:rPr>
          <w:t>6)</w:t>
        </w:r>
      </w:hyperlink>
      <w:r w:rsidRPr="00ED7418">
        <w:rPr>
          <w:rFonts w:ascii="Arial" w:eastAsia="Times New Roman" w:hAnsi="Arial" w:cs="Arial"/>
          <w:color w:val="222222"/>
          <w:sz w:val="24"/>
          <w:szCs w:val="24"/>
        </w:rPr>
        <w:t xml:space="preserve"> пункта 3 настоящей статьи, не </w:t>
      </w:r>
      <w:r w:rsidRPr="00ED7418">
        <w:rPr>
          <w:rFonts w:ascii="Arial" w:eastAsia="Times New Roman" w:hAnsi="Arial" w:cs="Arial"/>
          <w:color w:val="222222"/>
          <w:sz w:val="24"/>
          <w:szCs w:val="24"/>
        </w:rPr>
        <w:lastRenderedPageBreak/>
        <w:t>применяется в отношении лиц, указанных в данных подпунктах, в случаях, если такими автотранспортными средствами являются легковые автомобили с объемом двигателя свыше 4000 кубических сантиметров, регистрация (перерегистрация) которых в уполномоченном органе произведена после 31 декабря 2013 года.</w:t>
      </w:r>
    </w:p>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A43A24">
        <w:rPr>
          <w:rFonts w:ascii="Arial" w:eastAsia="Times New Roman" w:hAnsi="Arial" w:cs="Arial"/>
          <w:b/>
          <w:bCs/>
          <w:color w:val="222222"/>
          <w:sz w:val="24"/>
          <w:szCs w:val="24"/>
        </w:rPr>
        <w:t>Объекты налогообложения</w:t>
      </w:r>
    </w:p>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      1. Объектами налогообложения являются транспортные средства, за исключением прицепов, подлежащие государственной регистрации и (или) состоящие на учете в Республике Казахстан. </w:t>
      </w:r>
      <w:r w:rsidRPr="00ED7418">
        <w:rPr>
          <w:rFonts w:ascii="Arial" w:eastAsia="Times New Roman" w:hAnsi="Arial" w:cs="Arial"/>
          <w:color w:val="222222"/>
          <w:sz w:val="24"/>
          <w:szCs w:val="24"/>
        </w:rPr>
        <w:br/>
        <w:t>      2. Не являются объектами налогообложения: </w:t>
      </w:r>
      <w:r w:rsidRPr="00ED7418">
        <w:rPr>
          <w:rFonts w:ascii="Arial" w:eastAsia="Times New Roman" w:hAnsi="Arial" w:cs="Arial"/>
          <w:color w:val="222222"/>
          <w:sz w:val="24"/>
          <w:szCs w:val="24"/>
        </w:rPr>
        <w:br/>
        <w:t>      1) карьерные автосамосвалы грузоподъемностью 40 тонн и выше; </w:t>
      </w:r>
      <w:r w:rsidRPr="00ED7418">
        <w:rPr>
          <w:rFonts w:ascii="Arial" w:eastAsia="Times New Roman" w:hAnsi="Arial" w:cs="Arial"/>
          <w:color w:val="222222"/>
          <w:sz w:val="24"/>
          <w:szCs w:val="24"/>
        </w:rPr>
        <w:br/>
        <w:t>      2) специализированные медицинские транспортные средства;</w:t>
      </w:r>
      <w:r w:rsidRPr="00ED7418">
        <w:rPr>
          <w:rFonts w:ascii="Arial" w:eastAsia="Times New Roman" w:hAnsi="Arial" w:cs="Arial"/>
          <w:color w:val="222222"/>
          <w:sz w:val="24"/>
          <w:szCs w:val="24"/>
        </w:rPr>
        <w:br/>
        <w:t>      3) морские суда, зарегистрированные в международном судовом реестре Республики Казахстан.</w:t>
      </w:r>
    </w:p>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A43A24">
        <w:rPr>
          <w:rFonts w:ascii="Arial" w:eastAsia="Times New Roman" w:hAnsi="Arial" w:cs="Arial"/>
          <w:b/>
          <w:bCs/>
          <w:color w:val="222222"/>
          <w:sz w:val="24"/>
          <w:szCs w:val="24"/>
        </w:rPr>
        <w:t>Налоговые ставки</w:t>
      </w:r>
    </w:p>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      1. Если иное не установлено настоящей статьей, исчисление налога производится по следующим ставкам, установленным в месячных расчетных показателях:</w:t>
      </w:r>
    </w:p>
    <w:tbl>
      <w:tblPr>
        <w:tblW w:w="0" w:type="auto"/>
        <w:tblCellSpacing w:w="15" w:type="dxa"/>
        <w:tblBorders>
          <w:top w:val="dotted" w:sz="4" w:space="0" w:color="D3D3D3"/>
          <w:left w:val="dotted" w:sz="4" w:space="0" w:color="D3D3D3"/>
          <w:bottom w:val="dotted" w:sz="4" w:space="0" w:color="D3D3D3"/>
          <w:right w:val="dotted" w:sz="4" w:space="0" w:color="D3D3D3"/>
        </w:tblBorders>
        <w:tblCellMar>
          <w:top w:w="15" w:type="dxa"/>
          <w:left w:w="15" w:type="dxa"/>
          <w:bottom w:w="15" w:type="dxa"/>
          <w:right w:w="15" w:type="dxa"/>
        </w:tblCellMar>
        <w:tblLook w:val="04A0"/>
      </w:tblPr>
      <w:tblGrid>
        <w:gridCol w:w="422"/>
        <w:gridCol w:w="6264"/>
        <w:gridCol w:w="2025"/>
      </w:tblGrid>
      <w:tr w:rsidR="00ED7418" w:rsidRPr="00ED7418" w:rsidTr="00ED7418">
        <w:trPr>
          <w:tblCellSpacing w:w="15" w:type="dxa"/>
        </w:trPr>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w:t>
            </w:r>
            <w:r w:rsidRPr="00ED7418">
              <w:rPr>
                <w:rFonts w:ascii="Arial" w:eastAsia="Times New Roman" w:hAnsi="Arial" w:cs="Arial"/>
                <w:color w:val="222222"/>
                <w:sz w:val="24"/>
                <w:szCs w:val="24"/>
              </w:rPr>
              <w:br/>
            </w:r>
            <w:proofErr w:type="spellStart"/>
            <w:proofErr w:type="gramStart"/>
            <w:r w:rsidRPr="00ED7418">
              <w:rPr>
                <w:rFonts w:ascii="Arial" w:eastAsia="Times New Roman" w:hAnsi="Arial" w:cs="Arial"/>
                <w:color w:val="222222"/>
                <w:sz w:val="24"/>
                <w:szCs w:val="24"/>
              </w:rPr>
              <w:t>п</w:t>
            </w:r>
            <w:proofErr w:type="spellEnd"/>
            <w:proofErr w:type="gramEnd"/>
            <w:r w:rsidRPr="00ED7418">
              <w:rPr>
                <w:rFonts w:ascii="Arial" w:eastAsia="Times New Roman" w:hAnsi="Arial" w:cs="Arial"/>
                <w:color w:val="222222"/>
                <w:sz w:val="24"/>
                <w:szCs w:val="24"/>
              </w:rPr>
              <w:t>/</w:t>
            </w:r>
            <w:proofErr w:type="spellStart"/>
            <w:r w:rsidRPr="00ED7418">
              <w:rPr>
                <w:rFonts w:ascii="Arial" w:eastAsia="Times New Roman" w:hAnsi="Arial" w:cs="Arial"/>
                <w:color w:val="222222"/>
                <w:sz w:val="24"/>
                <w:szCs w:val="24"/>
              </w:rPr>
              <w:t>п</w:t>
            </w:r>
            <w:proofErr w:type="spellEnd"/>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Объект налогообложения</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Налоговая</w:t>
            </w:r>
            <w:r w:rsidRPr="00ED7418">
              <w:rPr>
                <w:rFonts w:ascii="Arial" w:eastAsia="Times New Roman" w:hAnsi="Arial" w:cs="Arial"/>
                <w:color w:val="222222"/>
                <w:sz w:val="24"/>
                <w:szCs w:val="24"/>
              </w:rPr>
              <w:br/>
              <w:t>ставка</w:t>
            </w:r>
            <w:r w:rsidRPr="00ED7418">
              <w:rPr>
                <w:rFonts w:ascii="Arial" w:eastAsia="Times New Roman" w:hAnsi="Arial" w:cs="Arial"/>
                <w:color w:val="222222"/>
                <w:sz w:val="24"/>
                <w:szCs w:val="24"/>
              </w:rPr>
              <w:br/>
              <w:t>(месячный</w:t>
            </w:r>
            <w:r w:rsidRPr="00ED7418">
              <w:rPr>
                <w:rFonts w:ascii="Arial" w:eastAsia="Times New Roman" w:hAnsi="Arial" w:cs="Arial"/>
                <w:color w:val="222222"/>
                <w:sz w:val="24"/>
                <w:szCs w:val="24"/>
              </w:rPr>
              <w:br/>
              <w:t>расчетный</w:t>
            </w:r>
            <w:r w:rsidRPr="00ED7418">
              <w:rPr>
                <w:rFonts w:ascii="Arial" w:eastAsia="Times New Roman" w:hAnsi="Arial" w:cs="Arial"/>
                <w:color w:val="222222"/>
                <w:sz w:val="24"/>
                <w:szCs w:val="24"/>
              </w:rPr>
              <w:br/>
              <w:t>показатель)</w:t>
            </w:r>
          </w:p>
        </w:tc>
      </w:tr>
      <w:tr w:rsidR="00ED7418" w:rsidRPr="00ED7418" w:rsidTr="00ED7418">
        <w:trPr>
          <w:tblCellSpacing w:w="15" w:type="dxa"/>
        </w:trPr>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1</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2</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3</w:t>
            </w:r>
          </w:p>
        </w:tc>
      </w:tr>
      <w:tr w:rsidR="00ED7418" w:rsidRPr="00ED7418" w:rsidTr="00ED7418">
        <w:trPr>
          <w:tblCellSpacing w:w="15" w:type="dxa"/>
        </w:trPr>
        <w:tc>
          <w:tcPr>
            <w:tcW w:w="0" w:type="auto"/>
            <w:vMerge w:val="restart"/>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1.</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Легковые автомобили с объемом двигателя (куб.</w:t>
            </w:r>
            <w:r w:rsidRPr="00ED7418">
              <w:rPr>
                <w:rFonts w:ascii="Arial" w:eastAsia="Times New Roman" w:hAnsi="Arial" w:cs="Arial"/>
                <w:color w:val="222222"/>
                <w:sz w:val="24"/>
                <w:szCs w:val="24"/>
              </w:rPr>
              <w:br/>
            </w:r>
            <w:proofErr w:type="gramStart"/>
            <w:r w:rsidRPr="00ED7418">
              <w:rPr>
                <w:rFonts w:ascii="Arial" w:eastAsia="Times New Roman" w:hAnsi="Arial" w:cs="Arial"/>
                <w:color w:val="222222"/>
                <w:sz w:val="24"/>
                <w:szCs w:val="24"/>
              </w:rPr>
              <w:t>см</w:t>
            </w:r>
            <w:proofErr w:type="gramEnd"/>
            <w:r w:rsidRPr="00ED7418">
              <w:rPr>
                <w:rFonts w:ascii="Arial" w:eastAsia="Times New Roman" w:hAnsi="Arial" w:cs="Arial"/>
                <w:color w:val="222222"/>
                <w:sz w:val="24"/>
                <w:szCs w:val="24"/>
              </w:rPr>
              <w:t>):</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jc w:val="both"/>
              <w:rPr>
                <w:rFonts w:ascii="Arial" w:eastAsia="Times New Roman" w:hAnsi="Arial" w:cs="Arial"/>
                <w:color w:val="222222"/>
                <w:sz w:val="24"/>
                <w:szCs w:val="24"/>
              </w:rPr>
            </w:pPr>
          </w:p>
        </w:tc>
      </w:tr>
      <w:tr w:rsidR="00ED7418" w:rsidRPr="00ED7418" w:rsidTr="00ED7418">
        <w:trPr>
          <w:tblCellSpacing w:w="15" w:type="dxa"/>
        </w:trPr>
        <w:tc>
          <w:tcPr>
            <w:tcW w:w="0" w:type="auto"/>
            <w:vMerge/>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rPr>
                <w:rFonts w:ascii="Arial" w:eastAsia="Times New Roman" w:hAnsi="Arial" w:cs="Arial"/>
                <w:color w:val="222222"/>
                <w:sz w:val="24"/>
                <w:szCs w:val="24"/>
              </w:rPr>
            </w:pP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до 1100 включительно</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1</w:t>
            </w:r>
          </w:p>
        </w:tc>
      </w:tr>
      <w:tr w:rsidR="00ED7418" w:rsidRPr="00ED7418" w:rsidTr="00ED7418">
        <w:trPr>
          <w:tblCellSpacing w:w="15" w:type="dxa"/>
        </w:trPr>
        <w:tc>
          <w:tcPr>
            <w:tcW w:w="0" w:type="auto"/>
            <w:vMerge/>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rPr>
                <w:rFonts w:ascii="Arial" w:eastAsia="Times New Roman" w:hAnsi="Arial" w:cs="Arial"/>
                <w:color w:val="222222"/>
                <w:sz w:val="24"/>
                <w:szCs w:val="24"/>
              </w:rPr>
            </w:pP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свыше 1100 до 1500 включительно</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2</w:t>
            </w:r>
          </w:p>
        </w:tc>
      </w:tr>
      <w:tr w:rsidR="00ED7418" w:rsidRPr="00ED7418" w:rsidTr="00ED7418">
        <w:trPr>
          <w:tblCellSpacing w:w="15" w:type="dxa"/>
        </w:trPr>
        <w:tc>
          <w:tcPr>
            <w:tcW w:w="0" w:type="auto"/>
            <w:vMerge/>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rPr>
                <w:rFonts w:ascii="Arial" w:eastAsia="Times New Roman" w:hAnsi="Arial" w:cs="Arial"/>
                <w:color w:val="222222"/>
                <w:sz w:val="24"/>
                <w:szCs w:val="24"/>
              </w:rPr>
            </w:pP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свыше 1500 до 2000 включительно</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3</w:t>
            </w:r>
          </w:p>
        </w:tc>
      </w:tr>
      <w:tr w:rsidR="00ED7418" w:rsidRPr="00ED7418" w:rsidTr="00ED7418">
        <w:trPr>
          <w:tblCellSpacing w:w="15" w:type="dxa"/>
        </w:trPr>
        <w:tc>
          <w:tcPr>
            <w:tcW w:w="0" w:type="auto"/>
            <w:vMerge/>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rPr>
                <w:rFonts w:ascii="Arial" w:eastAsia="Times New Roman" w:hAnsi="Arial" w:cs="Arial"/>
                <w:color w:val="222222"/>
                <w:sz w:val="24"/>
                <w:szCs w:val="24"/>
              </w:rPr>
            </w:pP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свыше 2000 до 2500 включительно</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6</w:t>
            </w:r>
          </w:p>
        </w:tc>
      </w:tr>
      <w:tr w:rsidR="00ED7418" w:rsidRPr="00ED7418" w:rsidTr="00ED7418">
        <w:trPr>
          <w:tblCellSpacing w:w="15" w:type="dxa"/>
        </w:trPr>
        <w:tc>
          <w:tcPr>
            <w:tcW w:w="0" w:type="auto"/>
            <w:vMerge/>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rPr>
                <w:rFonts w:ascii="Arial" w:eastAsia="Times New Roman" w:hAnsi="Arial" w:cs="Arial"/>
                <w:color w:val="222222"/>
                <w:sz w:val="24"/>
                <w:szCs w:val="24"/>
              </w:rPr>
            </w:pP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свыше 2500 до 3000 включительно</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9</w:t>
            </w:r>
          </w:p>
        </w:tc>
      </w:tr>
      <w:tr w:rsidR="00ED7418" w:rsidRPr="00ED7418" w:rsidTr="00ED7418">
        <w:trPr>
          <w:tblCellSpacing w:w="15" w:type="dxa"/>
        </w:trPr>
        <w:tc>
          <w:tcPr>
            <w:tcW w:w="0" w:type="auto"/>
            <w:vMerge/>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rPr>
                <w:rFonts w:ascii="Arial" w:eastAsia="Times New Roman" w:hAnsi="Arial" w:cs="Arial"/>
                <w:color w:val="222222"/>
                <w:sz w:val="24"/>
                <w:szCs w:val="24"/>
              </w:rPr>
            </w:pP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свыше 3000 до 4000 включительно</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15</w:t>
            </w:r>
          </w:p>
        </w:tc>
      </w:tr>
      <w:tr w:rsidR="00ED7418" w:rsidRPr="00ED7418" w:rsidTr="00ED7418">
        <w:trPr>
          <w:tblCellSpacing w:w="15" w:type="dxa"/>
        </w:trPr>
        <w:tc>
          <w:tcPr>
            <w:tcW w:w="0" w:type="auto"/>
            <w:vMerge/>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rPr>
                <w:rFonts w:ascii="Arial" w:eastAsia="Times New Roman" w:hAnsi="Arial" w:cs="Arial"/>
                <w:color w:val="222222"/>
                <w:sz w:val="24"/>
                <w:szCs w:val="24"/>
              </w:rPr>
            </w:pP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свыше 4000</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117</w:t>
            </w:r>
          </w:p>
        </w:tc>
      </w:tr>
      <w:tr w:rsidR="00ED7418" w:rsidRPr="00ED7418" w:rsidTr="00ED7418">
        <w:trPr>
          <w:tblCellSpacing w:w="15" w:type="dxa"/>
        </w:trPr>
        <w:tc>
          <w:tcPr>
            <w:tcW w:w="0" w:type="auto"/>
            <w:vMerge w:val="restart"/>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2.</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Грузовые, специальные автомобили</w:t>
            </w:r>
            <w:r w:rsidRPr="00ED7418">
              <w:rPr>
                <w:rFonts w:ascii="Arial" w:eastAsia="Times New Roman" w:hAnsi="Arial" w:cs="Arial"/>
                <w:color w:val="222222"/>
                <w:sz w:val="24"/>
                <w:szCs w:val="24"/>
              </w:rPr>
              <w:br/>
              <w:t>грузоподъемностью (без учета прицепов):</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jc w:val="both"/>
              <w:rPr>
                <w:rFonts w:ascii="Arial" w:eastAsia="Times New Roman" w:hAnsi="Arial" w:cs="Arial"/>
                <w:color w:val="222222"/>
                <w:sz w:val="24"/>
                <w:szCs w:val="24"/>
              </w:rPr>
            </w:pPr>
          </w:p>
        </w:tc>
      </w:tr>
      <w:tr w:rsidR="00ED7418" w:rsidRPr="00ED7418" w:rsidTr="00ED7418">
        <w:trPr>
          <w:tblCellSpacing w:w="15" w:type="dxa"/>
        </w:trPr>
        <w:tc>
          <w:tcPr>
            <w:tcW w:w="0" w:type="auto"/>
            <w:vMerge/>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rPr>
                <w:rFonts w:ascii="Arial" w:eastAsia="Times New Roman" w:hAnsi="Arial" w:cs="Arial"/>
                <w:color w:val="222222"/>
                <w:sz w:val="24"/>
                <w:szCs w:val="24"/>
              </w:rPr>
            </w:pP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до 1 тонны включительно</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3</w:t>
            </w:r>
          </w:p>
        </w:tc>
      </w:tr>
      <w:tr w:rsidR="00ED7418" w:rsidRPr="00ED7418" w:rsidTr="00ED7418">
        <w:trPr>
          <w:tblCellSpacing w:w="15" w:type="dxa"/>
        </w:trPr>
        <w:tc>
          <w:tcPr>
            <w:tcW w:w="0" w:type="auto"/>
            <w:vMerge/>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rPr>
                <w:rFonts w:ascii="Arial" w:eastAsia="Times New Roman" w:hAnsi="Arial" w:cs="Arial"/>
                <w:color w:val="222222"/>
                <w:sz w:val="24"/>
                <w:szCs w:val="24"/>
              </w:rPr>
            </w:pP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свыше 1 тонны до 1,5 тонны включительно</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5</w:t>
            </w:r>
          </w:p>
        </w:tc>
      </w:tr>
      <w:tr w:rsidR="00ED7418" w:rsidRPr="00ED7418" w:rsidTr="00ED7418">
        <w:trPr>
          <w:tblCellSpacing w:w="15" w:type="dxa"/>
        </w:trPr>
        <w:tc>
          <w:tcPr>
            <w:tcW w:w="0" w:type="auto"/>
            <w:vMerge/>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rPr>
                <w:rFonts w:ascii="Arial" w:eastAsia="Times New Roman" w:hAnsi="Arial" w:cs="Arial"/>
                <w:color w:val="222222"/>
                <w:sz w:val="24"/>
                <w:szCs w:val="24"/>
              </w:rPr>
            </w:pP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свыше 1,5 до 5 тонн включительно</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7</w:t>
            </w:r>
          </w:p>
        </w:tc>
      </w:tr>
      <w:tr w:rsidR="00ED7418" w:rsidRPr="00ED7418" w:rsidTr="00ED7418">
        <w:trPr>
          <w:tblCellSpacing w:w="15" w:type="dxa"/>
        </w:trPr>
        <w:tc>
          <w:tcPr>
            <w:tcW w:w="0" w:type="auto"/>
            <w:vMerge/>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rPr>
                <w:rFonts w:ascii="Arial" w:eastAsia="Times New Roman" w:hAnsi="Arial" w:cs="Arial"/>
                <w:color w:val="222222"/>
                <w:sz w:val="24"/>
                <w:szCs w:val="24"/>
              </w:rPr>
            </w:pP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свыше 5 тонн</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9</w:t>
            </w:r>
          </w:p>
        </w:tc>
      </w:tr>
      <w:tr w:rsidR="00ED7418" w:rsidRPr="00ED7418" w:rsidTr="00ED7418">
        <w:trPr>
          <w:tblCellSpacing w:w="15" w:type="dxa"/>
        </w:trPr>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3.</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Тракторы, самоходные сельскохозяйственные,</w:t>
            </w:r>
            <w:r w:rsidRPr="00ED7418">
              <w:rPr>
                <w:rFonts w:ascii="Arial" w:eastAsia="Times New Roman" w:hAnsi="Arial" w:cs="Arial"/>
                <w:color w:val="222222"/>
                <w:sz w:val="24"/>
                <w:szCs w:val="24"/>
              </w:rPr>
              <w:br/>
              <w:t>мелиоративные и дорожно-строительные машины и</w:t>
            </w:r>
            <w:r w:rsidRPr="00ED7418">
              <w:rPr>
                <w:rFonts w:ascii="Arial" w:eastAsia="Times New Roman" w:hAnsi="Arial" w:cs="Arial"/>
                <w:color w:val="222222"/>
                <w:sz w:val="24"/>
                <w:szCs w:val="24"/>
              </w:rPr>
              <w:br/>
              <w:t>механизмы, специальные машины повышенной</w:t>
            </w:r>
            <w:r w:rsidRPr="00ED7418">
              <w:rPr>
                <w:rFonts w:ascii="Arial" w:eastAsia="Times New Roman" w:hAnsi="Arial" w:cs="Arial"/>
                <w:color w:val="222222"/>
                <w:sz w:val="24"/>
                <w:szCs w:val="24"/>
              </w:rPr>
              <w:br/>
              <w:t>проходимости и другие автотранспортные средства,</w:t>
            </w:r>
            <w:r w:rsidRPr="00ED7418">
              <w:rPr>
                <w:rFonts w:ascii="Arial" w:eastAsia="Times New Roman" w:hAnsi="Arial" w:cs="Arial"/>
                <w:color w:val="222222"/>
                <w:sz w:val="24"/>
                <w:szCs w:val="24"/>
              </w:rPr>
              <w:br/>
              <w:t>не предназначенные для движения по автомобильным</w:t>
            </w:r>
            <w:r w:rsidRPr="00ED7418">
              <w:rPr>
                <w:rFonts w:ascii="Arial" w:eastAsia="Times New Roman" w:hAnsi="Arial" w:cs="Arial"/>
                <w:color w:val="222222"/>
                <w:sz w:val="24"/>
                <w:szCs w:val="24"/>
              </w:rPr>
              <w:br/>
              <w:t>дорогам общего пользования</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3</w:t>
            </w:r>
          </w:p>
        </w:tc>
      </w:tr>
      <w:tr w:rsidR="00ED7418" w:rsidRPr="00ED7418" w:rsidTr="00ED7418">
        <w:trPr>
          <w:tblCellSpacing w:w="15" w:type="dxa"/>
        </w:trPr>
        <w:tc>
          <w:tcPr>
            <w:tcW w:w="0" w:type="auto"/>
            <w:vMerge w:val="restart"/>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4.</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Автобусы:</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jc w:val="both"/>
              <w:rPr>
                <w:rFonts w:ascii="Arial" w:eastAsia="Times New Roman" w:hAnsi="Arial" w:cs="Arial"/>
                <w:color w:val="222222"/>
                <w:sz w:val="24"/>
                <w:szCs w:val="24"/>
              </w:rPr>
            </w:pPr>
          </w:p>
        </w:tc>
      </w:tr>
      <w:tr w:rsidR="00ED7418" w:rsidRPr="00ED7418" w:rsidTr="00ED7418">
        <w:trPr>
          <w:tblCellSpacing w:w="15" w:type="dxa"/>
        </w:trPr>
        <w:tc>
          <w:tcPr>
            <w:tcW w:w="0" w:type="auto"/>
            <w:vMerge/>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rPr>
                <w:rFonts w:ascii="Arial" w:eastAsia="Times New Roman" w:hAnsi="Arial" w:cs="Arial"/>
                <w:color w:val="222222"/>
                <w:sz w:val="24"/>
                <w:szCs w:val="24"/>
              </w:rPr>
            </w:pP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до 12 посадочных ме</w:t>
            </w:r>
            <w:proofErr w:type="gramStart"/>
            <w:r w:rsidRPr="00ED7418">
              <w:rPr>
                <w:rFonts w:ascii="Arial" w:eastAsia="Times New Roman" w:hAnsi="Arial" w:cs="Arial"/>
                <w:color w:val="222222"/>
                <w:sz w:val="24"/>
                <w:szCs w:val="24"/>
              </w:rPr>
              <w:t>ст вкл</w:t>
            </w:r>
            <w:proofErr w:type="gramEnd"/>
            <w:r w:rsidRPr="00ED7418">
              <w:rPr>
                <w:rFonts w:ascii="Arial" w:eastAsia="Times New Roman" w:hAnsi="Arial" w:cs="Arial"/>
                <w:color w:val="222222"/>
                <w:sz w:val="24"/>
                <w:szCs w:val="24"/>
              </w:rPr>
              <w:t>ючительно</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9</w:t>
            </w:r>
          </w:p>
        </w:tc>
      </w:tr>
      <w:tr w:rsidR="00ED7418" w:rsidRPr="00ED7418" w:rsidTr="00ED7418">
        <w:trPr>
          <w:tblCellSpacing w:w="15" w:type="dxa"/>
        </w:trPr>
        <w:tc>
          <w:tcPr>
            <w:tcW w:w="0" w:type="auto"/>
            <w:vMerge/>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rPr>
                <w:rFonts w:ascii="Arial" w:eastAsia="Times New Roman" w:hAnsi="Arial" w:cs="Arial"/>
                <w:color w:val="222222"/>
                <w:sz w:val="24"/>
                <w:szCs w:val="24"/>
              </w:rPr>
            </w:pP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свыше 12 до 25 посадочных ме</w:t>
            </w:r>
            <w:proofErr w:type="gramStart"/>
            <w:r w:rsidRPr="00ED7418">
              <w:rPr>
                <w:rFonts w:ascii="Arial" w:eastAsia="Times New Roman" w:hAnsi="Arial" w:cs="Arial"/>
                <w:color w:val="222222"/>
                <w:sz w:val="24"/>
                <w:szCs w:val="24"/>
              </w:rPr>
              <w:t>ст вкл</w:t>
            </w:r>
            <w:proofErr w:type="gramEnd"/>
            <w:r w:rsidRPr="00ED7418">
              <w:rPr>
                <w:rFonts w:ascii="Arial" w:eastAsia="Times New Roman" w:hAnsi="Arial" w:cs="Arial"/>
                <w:color w:val="222222"/>
                <w:sz w:val="24"/>
                <w:szCs w:val="24"/>
              </w:rPr>
              <w:t>ючительно</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14</w:t>
            </w:r>
          </w:p>
        </w:tc>
      </w:tr>
      <w:tr w:rsidR="00ED7418" w:rsidRPr="00ED7418" w:rsidTr="00ED7418">
        <w:trPr>
          <w:tblCellSpacing w:w="15" w:type="dxa"/>
        </w:trPr>
        <w:tc>
          <w:tcPr>
            <w:tcW w:w="0" w:type="auto"/>
            <w:vMerge/>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rPr>
                <w:rFonts w:ascii="Arial" w:eastAsia="Times New Roman" w:hAnsi="Arial" w:cs="Arial"/>
                <w:color w:val="222222"/>
                <w:sz w:val="24"/>
                <w:szCs w:val="24"/>
              </w:rPr>
            </w:pP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свыше 25 посадочных мест</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20</w:t>
            </w:r>
          </w:p>
        </w:tc>
      </w:tr>
      <w:tr w:rsidR="00ED7418" w:rsidRPr="00ED7418" w:rsidTr="00ED7418">
        <w:trPr>
          <w:tblCellSpacing w:w="15" w:type="dxa"/>
        </w:trPr>
        <w:tc>
          <w:tcPr>
            <w:tcW w:w="0" w:type="auto"/>
            <w:vMerge w:val="restart"/>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5.</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Мотоциклы, мотороллеры, мотосани, маломерные</w:t>
            </w:r>
            <w:r w:rsidRPr="00ED7418">
              <w:rPr>
                <w:rFonts w:ascii="Arial" w:eastAsia="Times New Roman" w:hAnsi="Arial" w:cs="Arial"/>
                <w:color w:val="222222"/>
                <w:sz w:val="24"/>
                <w:szCs w:val="24"/>
              </w:rPr>
              <w:br/>
              <w:t>суда, мощность двигателя которых:</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jc w:val="both"/>
              <w:rPr>
                <w:rFonts w:ascii="Arial" w:eastAsia="Times New Roman" w:hAnsi="Arial" w:cs="Arial"/>
                <w:color w:val="222222"/>
                <w:sz w:val="24"/>
                <w:szCs w:val="24"/>
              </w:rPr>
            </w:pPr>
          </w:p>
        </w:tc>
      </w:tr>
      <w:tr w:rsidR="00ED7418" w:rsidRPr="00ED7418" w:rsidTr="00ED7418">
        <w:trPr>
          <w:tblCellSpacing w:w="15" w:type="dxa"/>
        </w:trPr>
        <w:tc>
          <w:tcPr>
            <w:tcW w:w="0" w:type="auto"/>
            <w:vMerge/>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rPr>
                <w:rFonts w:ascii="Arial" w:eastAsia="Times New Roman" w:hAnsi="Arial" w:cs="Arial"/>
                <w:color w:val="222222"/>
                <w:sz w:val="24"/>
                <w:szCs w:val="24"/>
              </w:rPr>
            </w:pP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до 55 к</w:t>
            </w:r>
            <w:proofErr w:type="gramStart"/>
            <w:r w:rsidRPr="00ED7418">
              <w:rPr>
                <w:rFonts w:ascii="Arial" w:eastAsia="Times New Roman" w:hAnsi="Arial" w:cs="Arial"/>
                <w:color w:val="222222"/>
                <w:sz w:val="24"/>
                <w:szCs w:val="24"/>
              </w:rPr>
              <w:t>Вт вкл</w:t>
            </w:r>
            <w:proofErr w:type="gramEnd"/>
            <w:r w:rsidRPr="00ED7418">
              <w:rPr>
                <w:rFonts w:ascii="Arial" w:eastAsia="Times New Roman" w:hAnsi="Arial" w:cs="Arial"/>
                <w:color w:val="222222"/>
                <w:sz w:val="24"/>
                <w:szCs w:val="24"/>
              </w:rPr>
              <w:t>ючительно</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1</w:t>
            </w:r>
          </w:p>
        </w:tc>
      </w:tr>
      <w:tr w:rsidR="00ED7418" w:rsidRPr="00ED7418" w:rsidTr="00ED7418">
        <w:trPr>
          <w:tblCellSpacing w:w="15" w:type="dxa"/>
        </w:trPr>
        <w:tc>
          <w:tcPr>
            <w:tcW w:w="0" w:type="auto"/>
            <w:vMerge/>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rPr>
                <w:rFonts w:ascii="Arial" w:eastAsia="Times New Roman" w:hAnsi="Arial" w:cs="Arial"/>
                <w:color w:val="222222"/>
                <w:sz w:val="24"/>
                <w:szCs w:val="24"/>
              </w:rPr>
            </w:pP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свыше 55 кВт</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10</w:t>
            </w:r>
          </w:p>
        </w:tc>
      </w:tr>
      <w:tr w:rsidR="00ED7418" w:rsidRPr="00ED7418" w:rsidTr="00ED7418">
        <w:trPr>
          <w:tblCellSpacing w:w="15" w:type="dxa"/>
        </w:trPr>
        <w:tc>
          <w:tcPr>
            <w:tcW w:w="0" w:type="auto"/>
            <w:vMerge w:val="restart"/>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6.</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Катера, суда, буксиры, баржи, яхты (мощность</w:t>
            </w:r>
            <w:r w:rsidRPr="00ED7418">
              <w:rPr>
                <w:rFonts w:ascii="Arial" w:eastAsia="Times New Roman" w:hAnsi="Arial" w:cs="Arial"/>
                <w:color w:val="222222"/>
                <w:sz w:val="24"/>
                <w:szCs w:val="24"/>
              </w:rPr>
              <w:br/>
              <w:t>двигателя в лошадиных силах):</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jc w:val="both"/>
              <w:rPr>
                <w:rFonts w:ascii="Arial" w:eastAsia="Times New Roman" w:hAnsi="Arial" w:cs="Arial"/>
                <w:color w:val="222222"/>
                <w:sz w:val="24"/>
                <w:szCs w:val="24"/>
              </w:rPr>
            </w:pPr>
          </w:p>
        </w:tc>
      </w:tr>
      <w:tr w:rsidR="00ED7418" w:rsidRPr="00ED7418" w:rsidTr="00ED7418">
        <w:trPr>
          <w:tblCellSpacing w:w="15" w:type="dxa"/>
        </w:trPr>
        <w:tc>
          <w:tcPr>
            <w:tcW w:w="0" w:type="auto"/>
            <w:vMerge/>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rPr>
                <w:rFonts w:ascii="Arial" w:eastAsia="Times New Roman" w:hAnsi="Arial" w:cs="Arial"/>
                <w:color w:val="222222"/>
                <w:sz w:val="24"/>
                <w:szCs w:val="24"/>
              </w:rPr>
            </w:pP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до 160 включительно</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6</w:t>
            </w:r>
          </w:p>
        </w:tc>
      </w:tr>
      <w:tr w:rsidR="00ED7418" w:rsidRPr="00ED7418" w:rsidTr="00ED7418">
        <w:trPr>
          <w:tblCellSpacing w:w="15" w:type="dxa"/>
        </w:trPr>
        <w:tc>
          <w:tcPr>
            <w:tcW w:w="0" w:type="auto"/>
            <w:vMerge/>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rPr>
                <w:rFonts w:ascii="Arial" w:eastAsia="Times New Roman" w:hAnsi="Arial" w:cs="Arial"/>
                <w:color w:val="222222"/>
                <w:sz w:val="24"/>
                <w:szCs w:val="24"/>
              </w:rPr>
            </w:pP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свыше 160 до 500 включительно</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18</w:t>
            </w:r>
          </w:p>
        </w:tc>
      </w:tr>
      <w:tr w:rsidR="00ED7418" w:rsidRPr="00ED7418" w:rsidTr="00ED7418">
        <w:trPr>
          <w:tblCellSpacing w:w="15" w:type="dxa"/>
        </w:trPr>
        <w:tc>
          <w:tcPr>
            <w:tcW w:w="0" w:type="auto"/>
            <w:vMerge/>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rPr>
                <w:rFonts w:ascii="Arial" w:eastAsia="Times New Roman" w:hAnsi="Arial" w:cs="Arial"/>
                <w:color w:val="222222"/>
                <w:sz w:val="24"/>
                <w:szCs w:val="24"/>
              </w:rPr>
            </w:pP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свыше 500 до 1000 включительно</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32</w:t>
            </w:r>
          </w:p>
        </w:tc>
      </w:tr>
      <w:tr w:rsidR="00ED7418" w:rsidRPr="00ED7418" w:rsidTr="00ED7418">
        <w:trPr>
          <w:tblCellSpacing w:w="15" w:type="dxa"/>
        </w:trPr>
        <w:tc>
          <w:tcPr>
            <w:tcW w:w="0" w:type="auto"/>
            <w:vMerge/>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rPr>
                <w:rFonts w:ascii="Arial" w:eastAsia="Times New Roman" w:hAnsi="Arial" w:cs="Arial"/>
                <w:color w:val="222222"/>
                <w:sz w:val="24"/>
                <w:szCs w:val="24"/>
              </w:rPr>
            </w:pP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свыше 1000</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55</w:t>
            </w:r>
          </w:p>
        </w:tc>
      </w:tr>
      <w:tr w:rsidR="00ED7418" w:rsidRPr="00ED7418" w:rsidTr="00ED7418">
        <w:trPr>
          <w:tblCellSpacing w:w="15" w:type="dxa"/>
        </w:trPr>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7.</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Летательные аппараты</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4 процента</w:t>
            </w:r>
            <w:r w:rsidRPr="00ED7418">
              <w:rPr>
                <w:rFonts w:ascii="Arial" w:eastAsia="Times New Roman" w:hAnsi="Arial" w:cs="Arial"/>
                <w:color w:val="222222"/>
                <w:sz w:val="24"/>
                <w:szCs w:val="24"/>
              </w:rPr>
              <w:br/>
              <w:t>от месячного</w:t>
            </w:r>
            <w:r w:rsidRPr="00ED7418">
              <w:rPr>
                <w:rFonts w:ascii="Arial" w:eastAsia="Times New Roman" w:hAnsi="Arial" w:cs="Arial"/>
                <w:color w:val="222222"/>
                <w:sz w:val="24"/>
                <w:szCs w:val="24"/>
              </w:rPr>
              <w:br/>
              <w:t>расчетного</w:t>
            </w:r>
            <w:r w:rsidRPr="00ED7418">
              <w:rPr>
                <w:rFonts w:ascii="Arial" w:eastAsia="Times New Roman" w:hAnsi="Arial" w:cs="Arial"/>
                <w:color w:val="222222"/>
                <w:sz w:val="24"/>
                <w:szCs w:val="24"/>
              </w:rPr>
              <w:br/>
              <w:t>показателя</w:t>
            </w:r>
            <w:r w:rsidRPr="00ED7418">
              <w:rPr>
                <w:rFonts w:ascii="Arial" w:eastAsia="Times New Roman" w:hAnsi="Arial" w:cs="Arial"/>
                <w:color w:val="222222"/>
                <w:sz w:val="24"/>
                <w:szCs w:val="24"/>
              </w:rPr>
              <w:br/>
              <w:t>с каждого</w:t>
            </w:r>
            <w:r w:rsidRPr="00ED7418">
              <w:rPr>
                <w:rFonts w:ascii="Arial" w:eastAsia="Times New Roman" w:hAnsi="Arial" w:cs="Arial"/>
                <w:color w:val="222222"/>
                <w:sz w:val="24"/>
                <w:szCs w:val="24"/>
              </w:rPr>
              <w:br/>
              <w:t>киловатта</w:t>
            </w:r>
            <w:r w:rsidRPr="00ED7418">
              <w:rPr>
                <w:rFonts w:ascii="Arial" w:eastAsia="Times New Roman" w:hAnsi="Arial" w:cs="Arial"/>
                <w:color w:val="222222"/>
                <w:sz w:val="24"/>
                <w:szCs w:val="24"/>
              </w:rPr>
              <w:br/>
              <w:t>мощности</w:t>
            </w:r>
          </w:p>
        </w:tc>
      </w:tr>
      <w:tr w:rsidR="00ED7418" w:rsidRPr="00ED7418" w:rsidTr="00ED7418">
        <w:trPr>
          <w:tblCellSpacing w:w="15" w:type="dxa"/>
        </w:trPr>
        <w:tc>
          <w:tcPr>
            <w:tcW w:w="0" w:type="auto"/>
            <w:vMerge w:val="restart"/>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8.</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Железнодорожный тяговый подвижной состав,</w:t>
            </w:r>
            <w:r w:rsidRPr="00ED7418">
              <w:rPr>
                <w:rFonts w:ascii="Arial" w:eastAsia="Times New Roman" w:hAnsi="Arial" w:cs="Arial"/>
                <w:color w:val="222222"/>
                <w:sz w:val="24"/>
                <w:szCs w:val="24"/>
              </w:rPr>
              <w:br/>
              <w:t>используемый:</w:t>
            </w:r>
            <w:r w:rsidRPr="00ED7418">
              <w:rPr>
                <w:rFonts w:ascii="Arial" w:eastAsia="Times New Roman" w:hAnsi="Arial" w:cs="Arial"/>
                <w:color w:val="222222"/>
                <w:sz w:val="24"/>
                <w:szCs w:val="24"/>
              </w:rPr>
              <w:br/>
              <w:t>для вождения поездов любых категорий по</w:t>
            </w:r>
            <w:r w:rsidRPr="00ED7418">
              <w:rPr>
                <w:rFonts w:ascii="Arial" w:eastAsia="Times New Roman" w:hAnsi="Arial" w:cs="Arial"/>
                <w:color w:val="222222"/>
                <w:sz w:val="24"/>
                <w:szCs w:val="24"/>
              </w:rPr>
              <w:br/>
              <w:t>магистральным путям;</w:t>
            </w:r>
            <w:r w:rsidRPr="00ED7418">
              <w:rPr>
                <w:rFonts w:ascii="Arial" w:eastAsia="Times New Roman" w:hAnsi="Arial" w:cs="Arial"/>
                <w:color w:val="222222"/>
                <w:sz w:val="24"/>
                <w:szCs w:val="24"/>
              </w:rPr>
              <w:br/>
              <w:t>для производства маневровой работы на</w:t>
            </w:r>
            <w:r w:rsidRPr="00ED7418">
              <w:rPr>
                <w:rFonts w:ascii="Arial" w:eastAsia="Times New Roman" w:hAnsi="Arial" w:cs="Arial"/>
                <w:color w:val="222222"/>
                <w:sz w:val="24"/>
                <w:szCs w:val="24"/>
              </w:rPr>
              <w:br/>
              <w:t>магистральных, станционных и подъездных путях</w:t>
            </w:r>
            <w:r w:rsidRPr="00ED7418">
              <w:rPr>
                <w:rFonts w:ascii="Arial" w:eastAsia="Times New Roman" w:hAnsi="Arial" w:cs="Arial"/>
                <w:color w:val="222222"/>
                <w:sz w:val="24"/>
                <w:szCs w:val="24"/>
              </w:rPr>
              <w:br/>
              <w:t>узкой и (или) широкой колеи;</w:t>
            </w:r>
            <w:r w:rsidRPr="00ED7418">
              <w:rPr>
                <w:rFonts w:ascii="Arial" w:eastAsia="Times New Roman" w:hAnsi="Arial" w:cs="Arial"/>
                <w:color w:val="222222"/>
                <w:sz w:val="24"/>
                <w:szCs w:val="24"/>
              </w:rPr>
              <w:br/>
              <w:t>на путях промышленного железнодорожного</w:t>
            </w:r>
            <w:r w:rsidRPr="00ED7418">
              <w:rPr>
                <w:rFonts w:ascii="Arial" w:eastAsia="Times New Roman" w:hAnsi="Arial" w:cs="Arial"/>
                <w:color w:val="222222"/>
                <w:sz w:val="24"/>
                <w:szCs w:val="24"/>
              </w:rPr>
              <w:br/>
              <w:t>транспорта и не выходящий на магистральные и</w:t>
            </w:r>
            <w:r w:rsidRPr="00ED7418">
              <w:rPr>
                <w:rFonts w:ascii="Arial" w:eastAsia="Times New Roman" w:hAnsi="Arial" w:cs="Arial"/>
                <w:color w:val="222222"/>
                <w:sz w:val="24"/>
                <w:szCs w:val="24"/>
              </w:rPr>
              <w:br/>
              <w:t>станционные пути</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1 процент от</w:t>
            </w:r>
            <w:r w:rsidRPr="00ED7418">
              <w:rPr>
                <w:rFonts w:ascii="Arial" w:eastAsia="Times New Roman" w:hAnsi="Arial" w:cs="Arial"/>
                <w:color w:val="222222"/>
                <w:sz w:val="24"/>
                <w:szCs w:val="24"/>
              </w:rPr>
              <w:br/>
              <w:t>месячного</w:t>
            </w:r>
            <w:r w:rsidRPr="00ED7418">
              <w:rPr>
                <w:rFonts w:ascii="Arial" w:eastAsia="Times New Roman" w:hAnsi="Arial" w:cs="Arial"/>
                <w:color w:val="222222"/>
                <w:sz w:val="24"/>
                <w:szCs w:val="24"/>
              </w:rPr>
              <w:br/>
              <w:t>расчетного</w:t>
            </w:r>
            <w:r w:rsidRPr="00ED7418">
              <w:rPr>
                <w:rFonts w:ascii="Arial" w:eastAsia="Times New Roman" w:hAnsi="Arial" w:cs="Arial"/>
                <w:color w:val="222222"/>
                <w:sz w:val="24"/>
                <w:szCs w:val="24"/>
              </w:rPr>
              <w:br/>
              <w:t>показателя с</w:t>
            </w:r>
            <w:r w:rsidRPr="00ED7418">
              <w:rPr>
                <w:rFonts w:ascii="Arial" w:eastAsia="Times New Roman" w:hAnsi="Arial" w:cs="Arial"/>
                <w:color w:val="222222"/>
                <w:sz w:val="24"/>
                <w:szCs w:val="24"/>
              </w:rPr>
              <w:br/>
              <w:t>каждого</w:t>
            </w:r>
            <w:r w:rsidRPr="00ED7418">
              <w:rPr>
                <w:rFonts w:ascii="Arial" w:eastAsia="Times New Roman" w:hAnsi="Arial" w:cs="Arial"/>
                <w:color w:val="222222"/>
                <w:sz w:val="24"/>
                <w:szCs w:val="24"/>
              </w:rPr>
              <w:br/>
              <w:t>киловатта общей</w:t>
            </w:r>
            <w:r w:rsidRPr="00ED7418">
              <w:rPr>
                <w:rFonts w:ascii="Arial" w:eastAsia="Times New Roman" w:hAnsi="Arial" w:cs="Arial"/>
                <w:color w:val="222222"/>
                <w:sz w:val="24"/>
                <w:szCs w:val="24"/>
              </w:rPr>
              <w:br/>
              <w:t>мощности</w:t>
            </w:r>
            <w:r w:rsidRPr="00ED7418">
              <w:rPr>
                <w:rFonts w:ascii="Arial" w:eastAsia="Times New Roman" w:hAnsi="Arial" w:cs="Arial"/>
                <w:color w:val="222222"/>
                <w:sz w:val="24"/>
                <w:szCs w:val="24"/>
              </w:rPr>
              <w:br/>
              <w:t>транспортного</w:t>
            </w:r>
            <w:r w:rsidRPr="00ED7418">
              <w:rPr>
                <w:rFonts w:ascii="Arial" w:eastAsia="Times New Roman" w:hAnsi="Arial" w:cs="Arial"/>
                <w:color w:val="222222"/>
                <w:sz w:val="24"/>
                <w:szCs w:val="24"/>
              </w:rPr>
              <w:br/>
              <w:t>средства</w:t>
            </w:r>
          </w:p>
        </w:tc>
      </w:tr>
      <w:tr w:rsidR="00ED7418" w:rsidRPr="00ED7418" w:rsidTr="00ED7418">
        <w:trPr>
          <w:tblCellSpacing w:w="15" w:type="dxa"/>
        </w:trPr>
        <w:tc>
          <w:tcPr>
            <w:tcW w:w="0" w:type="auto"/>
            <w:vMerge/>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rPr>
                <w:rFonts w:ascii="Arial" w:eastAsia="Times New Roman" w:hAnsi="Arial" w:cs="Arial"/>
                <w:color w:val="222222"/>
                <w:sz w:val="24"/>
                <w:szCs w:val="24"/>
              </w:rPr>
            </w:pP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proofErr w:type="spellStart"/>
            <w:r w:rsidRPr="00ED7418">
              <w:rPr>
                <w:rFonts w:ascii="Arial" w:eastAsia="Times New Roman" w:hAnsi="Arial" w:cs="Arial"/>
                <w:color w:val="222222"/>
                <w:sz w:val="24"/>
                <w:szCs w:val="24"/>
              </w:rPr>
              <w:t>Моторвагонный</w:t>
            </w:r>
            <w:proofErr w:type="spellEnd"/>
            <w:r w:rsidRPr="00ED7418">
              <w:rPr>
                <w:rFonts w:ascii="Arial" w:eastAsia="Times New Roman" w:hAnsi="Arial" w:cs="Arial"/>
                <w:color w:val="222222"/>
                <w:sz w:val="24"/>
                <w:szCs w:val="24"/>
              </w:rPr>
              <w:t xml:space="preserve"> подвижной состав, используемый для</w:t>
            </w:r>
            <w:r w:rsidRPr="00ED7418">
              <w:rPr>
                <w:rFonts w:ascii="Arial" w:eastAsia="Times New Roman" w:hAnsi="Arial" w:cs="Arial"/>
                <w:color w:val="222222"/>
                <w:sz w:val="24"/>
                <w:szCs w:val="24"/>
              </w:rPr>
              <w:br/>
              <w:t>организации перевозок пассажиров по магистральным</w:t>
            </w:r>
            <w:r w:rsidRPr="00ED7418">
              <w:rPr>
                <w:rFonts w:ascii="Arial" w:eastAsia="Times New Roman" w:hAnsi="Arial" w:cs="Arial"/>
                <w:color w:val="222222"/>
                <w:sz w:val="24"/>
                <w:szCs w:val="24"/>
              </w:rPr>
              <w:br/>
            </w:r>
            <w:r w:rsidRPr="00ED7418">
              <w:rPr>
                <w:rFonts w:ascii="Arial" w:eastAsia="Times New Roman" w:hAnsi="Arial" w:cs="Arial"/>
                <w:color w:val="222222"/>
                <w:sz w:val="24"/>
                <w:szCs w:val="24"/>
              </w:rPr>
              <w:lastRenderedPageBreak/>
              <w:t>и станционным путям узкой и широкой колеи, а</w:t>
            </w:r>
            <w:r w:rsidRPr="00ED7418">
              <w:rPr>
                <w:rFonts w:ascii="Arial" w:eastAsia="Times New Roman" w:hAnsi="Arial" w:cs="Arial"/>
                <w:color w:val="222222"/>
                <w:sz w:val="24"/>
                <w:szCs w:val="24"/>
              </w:rPr>
              <w:br/>
              <w:t>также транспортные средства городского рельсового</w:t>
            </w:r>
            <w:r w:rsidRPr="00ED7418">
              <w:rPr>
                <w:rFonts w:ascii="Arial" w:eastAsia="Times New Roman" w:hAnsi="Arial" w:cs="Arial"/>
                <w:color w:val="222222"/>
                <w:sz w:val="24"/>
                <w:szCs w:val="24"/>
              </w:rPr>
              <w:br/>
              <w:t>транспорта</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lastRenderedPageBreak/>
              <w:t>1 процент от</w:t>
            </w:r>
            <w:r w:rsidRPr="00ED7418">
              <w:rPr>
                <w:rFonts w:ascii="Arial" w:eastAsia="Times New Roman" w:hAnsi="Arial" w:cs="Arial"/>
                <w:color w:val="222222"/>
                <w:sz w:val="24"/>
                <w:szCs w:val="24"/>
              </w:rPr>
              <w:br/>
              <w:t>месячного</w:t>
            </w:r>
            <w:r w:rsidRPr="00ED7418">
              <w:rPr>
                <w:rFonts w:ascii="Arial" w:eastAsia="Times New Roman" w:hAnsi="Arial" w:cs="Arial"/>
                <w:color w:val="222222"/>
                <w:sz w:val="24"/>
                <w:szCs w:val="24"/>
              </w:rPr>
              <w:br/>
            </w:r>
            <w:r w:rsidRPr="00ED7418">
              <w:rPr>
                <w:rFonts w:ascii="Arial" w:eastAsia="Times New Roman" w:hAnsi="Arial" w:cs="Arial"/>
                <w:color w:val="222222"/>
                <w:sz w:val="24"/>
                <w:szCs w:val="24"/>
              </w:rPr>
              <w:lastRenderedPageBreak/>
              <w:t>расчетного</w:t>
            </w:r>
            <w:r w:rsidRPr="00ED7418">
              <w:rPr>
                <w:rFonts w:ascii="Arial" w:eastAsia="Times New Roman" w:hAnsi="Arial" w:cs="Arial"/>
                <w:color w:val="222222"/>
                <w:sz w:val="24"/>
                <w:szCs w:val="24"/>
              </w:rPr>
              <w:br/>
              <w:t>показателя с</w:t>
            </w:r>
            <w:r w:rsidRPr="00ED7418">
              <w:rPr>
                <w:rFonts w:ascii="Arial" w:eastAsia="Times New Roman" w:hAnsi="Arial" w:cs="Arial"/>
                <w:color w:val="222222"/>
                <w:sz w:val="24"/>
                <w:szCs w:val="24"/>
              </w:rPr>
              <w:br/>
              <w:t>каждого</w:t>
            </w:r>
            <w:r w:rsidRPr="00ED7418">
              <w:rPr>
                <w:rFonts w:ascii="Arial" w:eastAsia="Times New Roman" w:hAnsi="Arial" w:cs="Arial"/>
                <w:color w:val="222222"/>
                <w:sz w:val="24"/>
                <w:szCs w:val="24"/>
              </w:rPr>
              <w:br/>
              <w:t>киловатта общей</w:t>
            </w:r>
            <w:r w:rsidRPr="00ED7418">
              <w:rPr>
                <w:rFonts w:ascii="Arial" w:eastAsia="Times New Roman" w:hAnsi="Arial" w:cs="Arial"/>
                <w:color w:val="222222"/>
                <w:sz w:val="24"/>
                <w:szCs w:val="24"/>
              </w:rPr>
              <w:br/>
              <w:t>мощности</w:t>
            </w:r>
            <w:r w:rsidRPr="00ED7418">
              <w:rPr>
                <w:rFonts w:ascii="Arial" w:eastAsia="Times New Roman" w:hAnsi="Arial" w:cs="Arial"/>
                <w:color w:val="222222"/>
                <w:sz w:val="24"/>
                <w:szCs w:val="24"/>
              </w:rPr>
              <w:br/>
              <w:t>транспортного</w:t>
            </w:r>
            <w:r w:rsidRPr="00ED7418">
              <w:rPr>
                <w:rFonts w:ascii="Arial" w:eastAsia="Times New Roman" w:hAnsi="Arial" w:cs="Arial"/>
                <w:color w:val="222222"/>
                <w:sz w:val="24"/>
                <w:szCs w:val="24"/>
              </w:rPr>
              <w:br/>
              <w:t>средства</w:t>
            </w:r>
          </w:p>
        </w:tc>
      </w:tr>
    </w:tbl>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lastRenderedPageBreak/>
        <w:t>      Для легковых автомобилей с объемом двигателя свыше 3000 кубических сантиметров, произведенных (изготовленных или собранных) в Республике Казахстан после 31 декабря 2013 года или ввезенных на территорию Республики Казахстан после 31 декабря 2013 года, исчисление налога производится по следующим ставкам, установленным в месячных расчетных показателях:</w:t>
      </w:r>
    </w:p>
    <w:tbl>
      <w:tblPr>
        <w:tblW w:w="0" w:type="auto"/>
        <w:tblCellSpacing w:w="15" w:type="dxa"/>
        <w:tblBorders>
          <w:top w:val="dotted" w:sz="4" w:space="0" w:color="D3D3D3"/>
          <w:left w:val="dotted" w:sz="4" w:space="0" w:color="D3D3D3"/>
          <w:bottom w:val="dotted" w:sz="4" w:space="0" w:color="D3D3D3"/>
          <w:right w:val="dotted" w:sz="4" w:space="0" w:color="D3D3D3"/>
        </w:tblBorders>
        <w:tblCellMar>
          <w:top w:w="15" w:type="dxa"/>
          <w:left w:w="15" w:type="dxa"/>
          <w:bottom w:w="15" w:type="dxa"/>
          <w:right w:w="15" w:type="dxa"/>
        </w:tblCellMar>
        <w:tblLook w:val="04A0"/>
      </w:tblPr>
      <w:tblGrid>
        <w:gridCol w:w="623"/>
        <w:gridCol w:w="4571"/>
        <w:gridCol w:w="4271"/>
      </w:tblGrid>
      <w:tr w:rsidR="00ED7418" w:rsidRPr="00ED7418" w:rsidTr="00ED7418">
        <w:trPr>
          <w:tblCellSpacing w:w="15" w:type="dxa"/>
        </w:trPr>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 xml:space="preserve">№ </w:t>
            </w:r>
            <w:proofErr w:type="spellStart"/>
            <w:proofErr w:type="gramStart"/>
            <w:r w:rsidRPr="00ED7418">
              <w:rPr>
                <w:rFonts w:ascii="Arial" w:eastAsia="Times New Roman" w:hAnsi="Arial" w:cs="Arial"/>
                <w:color w:val="222222"/>
                <w:sz w:val="24"/>
                <w:szCs w:val="24"/>
              </w:rPr>
              <w:t>п</w:t>
            </w:r>
            <w:proofErr w:type="spellEnd"/>
            <w:proofErr w:type="gramEnd"/>
            <w:r w:rsidRPr="00ED7418">
              <w:rPr>
                <w:rFonts w:ascii="Arial" w:eastAsia="Times New Roman" w:hAnsi="Arial" w:cs="Arial"/>
                <w:color w:val="222222"/>
                <w:sz w:val="24"/>
                <w:szCs w:val="24"/>
              </w:rPr>
              <w:t>/</w:t>
            </w:r>
            <w:proofErr w:type="spellStart"/>
            <w:r w:rsidRPr="00ED7418">
              <w:rPr>
                <w:rFonts w:ascii="Arial" w:eastAsia="Times New Roman" w:hAnsi="Arial" w:cs="Arial"/>
                <w:color w:val="222222"/>
                <w:sz w:val="24"/>
                <w:szCs w:val="24"/>
              </w:rPr>
              <w:t>п</w:t>
            </w:r>
            <w:proofErr w:type="spellEnd"/>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Объект налогообложения</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Налоговая ставка (месячный расчетный показатель)</w:t>
            </w:r>
          </w:p>
        </w:tc>
      </w:tr>
      <w:tr w:rsidR="00ED7418" w:rsidRPr="00ED7418" w:rsidTr="00ED7418">
        <w:trPr>
          <w:tblCellSpacing w:w="15" w:type="dxa"/>
        </w:trPr>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1</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2</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3</w:t>
            </w:r>
          </w:p>
        </w:tc>
      </w:tr>
      <w:tr w:rsidR="00ED7418" w:rsidRPr="00ED7418" w:rsidTr="00ED7418">
        <w:trPr>
          <w:tblCellSpacing w:w="15" w:type="dxa"/>
        </w:trPr>
        <w:tc>
          <w:tcPr>
            <w:tcW w:w="0" w:type="auto"/>
            <w:vMerge w:val="restart"/>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1.</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 xml:space="preserve">Легковые автомобили с объемом двигателя (куб. </w:t>
            </w:r>
            <w:proofErr w:type="gramStart"/>
            <w:r w:rsidRPr="00ED7418">
              <w:rPr>
                <w:rFonts w:ascii="Arial" w:eastAsia="Times New Roman" w:hAnsi="Arial" w:cs="Arial"/>
                <w:color w:val="222222"/>
                <w:sz w:val="24"/>
                <w:szCs w:val="24"/>
              </w:rPr>
              <w:t>см</w:t>
            </w:r>
            <w:proofErr w:type="gramEnd"/>
            <w:r w:rsidRPr="00ED7418">
              <w:rPr>
                <w:rFonts w:ascii="Arial" w:eastAsia="Times New Roman" w:hAnsi="Arial" w:cs="Arial"/>
                <w:color w:val="222222"/>
                <w:sz w:val="24"/>
                <w:szCs w:val="24"/>
              </w:rPr>
              <w:t>):</w:t>
            </w:r>
            <w:r w:rsidRPr="00ED7418">
              <w:rPr>
                <w:rFonts w:ascii="Arial" w:eastAsia="Times New Roman" w:hAnsi="Arial" w:cs="Arial"/>
                <w:color w:val="222222"/>
                <w:sz w:val="24"/>
                <w:szCs w:val="24"/>
              </w:rPr>
              <w:br/>
              <w:t>свыше 3 000 до 3 200 включительно</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35</w:t>
            </w:r>
          </w:p>
        </w:tc>
      </w:tr>
      <w:tr w:rsidR="00ED7418" w:rsidRPr="00ED7418" w:rsidTr="00ED7418">
        <w:trPr>
          <w:tblCellSpacing w:w="15" w:type="dxa"/>
        </w:trPr>
        <w:tc>
          <w:tcPr>
            <w:tcW w:w="0" w:type="auto"/>
            <w:vMerge/>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rPr>
                <w:rFonts w:ascii="Arial" w:eastAsia="Times New Roman" w:hAnsi="Arial" w:cs="Arial"/>
                <w:color w:val="222222"/>
                <w:sz w:val="24"/>
                <w:szCs w:val="24"/>
              </w:rPr>
            </w:pP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свыше 3 200 до 3 500 включительно</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46</w:t>
            </w:r>
          </w:p>
        </w:tc>
      </w:tr>
      <w:tr w:rsidR="00ED7418" w:rsidRPr="00ED7418" w:rsidTr="00ED7418">
        <w:trPr>
          <w:tblCellSpacing w:w="15" w:type="dxa"/>
        </w:trPr>
        <w:tc>
          <w:tcPr>
            <w:tcW w:w="0" w:type="auto"/>
            <w:vMerge/>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rPr>
                <w:rFonts w:ascii="Arial" w:eastAsia="Times New Roman" w:hAnsi="Arial" w:cs="Arial"/>
                <w:color w:val="222222"/>
                <w:sz w:val="24"/>
                <w:szCs w:val="24"/>
              </w:rPr>
            </w:pP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свыше 3 500 до 4 000 включительно</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66</w:t>
            </w:r>
          </w:p>
        </w:tc>
      </w:tr>
      <w:tr w:rsidR="00ED7418" w:rsidRPr="00ED7418" w:rsidTr="00ED7418">
        <w:trPr>
          <w:tblCellSpacing w:w="15" w:type="dxa"/>
        </w:trPr>
        <w:tc>
          <w:tcPr>
            <w:tcW w:w="0" w:type="auto"/>
            <w:vMerge/>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rPr>
                <w:rFonts w:ascii="Arial" w:eastAsia="Times New Roman" w:hAnsi="Arial" w:cs="Arial"/>
                <w:color w:val="222222"/>
                <w:sz w:val="24"/>
                <w:szCs w:val="24"/>
              </w:rPr>
            </w:pP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свыше 4 000 до 5 000 включительно</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130</w:t>
            </w:r>
          </w:p>
        </w:tc>
      </w:tr>
      <w:tr w:rsidR="00ED7418" w:rsidRPr="00ED7418" w:rsidTr="00ED7418">
        <w:trPr>
          <w:tblCellSpacing w:w="15" w:type="dxa"/>
        </w:trPr>
        <w:tc>
          <w:tcPr>
            <w:tcW w:w="0" w:type="auto"/>
            <w:vMerge/>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after="0"/>
              <w:rPr>
                <w:rFonts w:ascii="Arial" w:eastAsia="Times New Roman" w:hAnsi="Arial" w:cs="Arial"/>
                <w:color w:val="222222"/>
                <w:sz w:val="24"/>
                <w:szCs w:val="24"/>
              </w:rPr>
            </w:pP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свыше 5 000</w:t>
            </w:r>
          </w:p>
        </w:tc>
        <w:tc>
          <w:tcPr>
            <w:tcW w:w="0" w:type="auto"/>
            <w:tcBorders>
              <w:top w:val="dotted" w:sz="4" w:space="0" w:color="D3D3D3"/>
              <w:left w:val="dotted" w:sz="4" w:space="0" w:color="D3D3D3"/>
              <w:bottom w:val="dotted" w:sz="4" w:space="0" w:color="D3D3D3"/>
              <w:right w:val="dotted" w:sz="4" w:space="0" w:color="D3D3D3"/>
            </w:tcBorders>
            <w:vAlign w:val="center"/>
            <w:hideMark/>
          </w:tcPr>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200</w:t>
            </w:r>
          </w:p>
        </w:tc>
      </w:tr>
    </w:tbl>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      Для исчисления налога применяется месячный расчетный показатель, установленный законом о республиканском бюджете и действующий на 1 января соответствующего финансового года.</w:t>
      </w:r>
      <w:r w:rsidRPr="00ED7418">
        <w:rPr>
          <w:rFonts w:ascii="Arial" w:eastAsia="Times New Roman" w:hAnsi="Arial" w:cs="Arial"/>
          <w:color w:val="222222"/>
          <w:sz w:val="24"/>
          <w:szCs w:val="24"/>
        </w:rPr>
        <w:br/>
        <w:t>      1-1. Для целей настоящего Кодекса:</w:t>
      </w:r>
      <w:r w:rsidRPr="00ED7418">
        <w:rPr>
          <w:rFonts w:ascii="Arial" w:eastAsia="Times New Roman" w:hAnsi="Arial" w:cs="Arial"/>
          <w:color w:val="222222"/>
          <w:sz w:val="24"/>
          <w:szCs w:val="24"/>
        </w:rPr>
        <w:br/>
        <w:t>      1) к легковым автомобилям относятся:</w:t>
      </w:r>
      <w:r w:rsidRPr="00ED7418">
        <w:rPr>
          <w:rFonts w:ascii="Arial" w:eastAsia="Times New Roman" w:hAnsi="Arial" w:cs="Arial"/>
          <w:color w:val="222222"/>
          <w:sz w:val="24"/>
          <w:szCs w:val="24"/>
        </w:rPr>
        <w:br/>
        <w:t>      автомобили категории</w:t>
      </w:r>
      <w:proofErr w:type="gramStart"/>
      <w:r w:rsidRPr="00ED7418">
        <w:rPr>
          <w:rFonts w:ascii="Arial" w:eastAsia="Times New Roman" w:hAnsi="Arial" w:cs="Arial"/>
          <w:color w:val="222222"/>
          <w:sz w:val="24"/>
          <w:szCs w:val="24"/>
        </w:rPr>
        <w:t xml:space="preserve"> В</w:t>
      </w:r>
      <w:proofErr w:type="gramEnd"/>
      <w:r w:rsidRPr="00ED7418">
        <w:rPr>
          <w:rFonts w:ascii="Arial" w:eastAsia="Times New Roman" w:hAnsi="Arial" w:cs="Arial"/>
          <w:color w:val="222222"/>
          <w:sz w:val="24"/>
          <w:szCs w:val="24"/>
        </w:rPr>
        <w:t xml:space="preserve"> (включая BE, В1);</w:t>
      </w:r>
      <w:r w:rsidRPr="00ED7418">
        <w:rPr>
          <w:rFonts w:ascii="Arial" w:eastAsia="Times New Roman" w:hAnsi="Arial" w:cs="Arial"/>
          <w:color w:val="222222"/>
          <w:sz w:val="24"/>
          <w:szCs w:val="24"/>
        </w:rPr>
        <w:br/>
        <w:t>      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(автомобили-пикапы);</w:t>
      </w:r>
      <w:r w:rsidRPr="00ED7418">
        <w:rPr>
          <w:rFonts w:ascii="Arial" w:eastAsia="Times New Roman" w:hAnsi="Arial" w:cs="Arial"/>
          <w:color w:val="222222"/>
          <w:sz w:val="24"/>
          <w:szCs w:val="24"/>
        </w:rPr>
        <w:br/>
        <w:t>      автомобили увеличенной вместимости и повышенной проходимости, превышающие требования категории</w:t>
      </w:r>
      <w:proofErr w:type="gramStart"/>
      <w:r w:rsidRPr="00ED7418">
        <w:rPr>
          <w:rFonts w:ascii="Arial" w:eastAsia="Times New Roman" w:hAnsi="Arial" w:cs="Arial"/>
          <w:color w:val="222222"/>
          <w:sz w:val="24"/>
          <w:szCs w:val="24"/>
        </w:rPr>
        <w:t xml:space="preserve"> В</w:t>
      </w:r>
      <w:proofErr w:type="gramEnd"/>
      <w:r w:rsidRPr="00ED7418">
        <w:rPr>
          <w:rFonts w:ascii="Arial" w:eastAsia="Times New Roman" w:hAnsi="Arial" w:cs="Arial"/>
          <w:color w:val="222222"/>
          <w:sz w:val="24"/>
          <w:szCs w:val="24"/>
        </w:rPr>
        <w:t xml:space="preserve"> (включая BE) по разрешенной максимальной массе и (или) количеству пассажирских мест (внедорожники, в том числе джипы, а также </w:t>
      </w:r>
      <w:proofErr w:type="spellStart"/>
      <w:r w:rsidRPr="00ED7418">
        <w:rPr>
          <w:rFonts w:ascii="Arial" w:eastAsia="Times New Roman" w:hAnsi="Arial" w:cs="Arial"/>
          <w:color w:val="222222"/>
          <w:sz w:val="24"/>
          <w:szCs w:val="24"/>
        </w:rPr>
        <w:t>кроссоверы</w:t>
      </w:r>
      <w:proofErr w:type="spellEnd"/>
      <w:r w:rsidRPr="00ED7418">
        <w:rPr>
          <w:rFonts w:ascii="Arial" w:eastAsia="Times New Roman" w:hAnsi="Arial" w:cs="Arial"/>
          <w:color w:val="222222"/>
          <w:sz w:val="24"/>
          <w:szCs w:val="24"/>
        </w:rPr>
        <w:t xml:space="preserve"> и лимузины);</w:t>
      </w:r>
      <w:r w:rsidRPr="00ED7418">
        <w:rPr>
          <w:rFonts w:ascii="Arial" w:eastAsia="Times New Roman" w:hAnsi="Arial" w:cs="Arial"/>
          <w:color w:val="222222"/>
          <w:sz w:val="24"/>
          <w:szCs w:val="24"/>
        </w:rPr>
        <w:br/>
        <w:t>      2) к грузовым автомобилям относятся автомобили категории С (включая СЕ, С1Е, С1), если иное не установлено подпунктом 1) настоящего пункта;</w:t>
      </w:r>
      <w:r w:rsidRPr="00ED7418">
        <w:rPr>
          <w:rFonts w:ascii="Arial" w:eastAsia="Times New Roman" w:hAnsi="Arial" w:cs="Arial"/>
          <w:color w:val="222222"/>
          <w:sz w:val="24"/>
          <w:szCs w:val="24"/>
        </w:rPr>
        <w:br/>
        <w:t>      3) к специальным автомобилям относятся автомобили со специальным оборудованием, предназначенные для выполнения определенных технологических процессов или операций, если иное не установлено подпунктами 1) и 2) настоящего пункта;</w:t>
      </w:r>
      <w:r w:rsidRPr="00ED7418">
        <w:rPr>
          <w:rFonts w:ascii="Arial" w:eastAsia="Times New Roman" w:hAnsi="Arial" w:cs="Arial"/>
          <w:color w:val="222222"/>
          <w:sz w:val="24"/>
          <w:szCs w:val="24"/>
        </w:rPr>
        <w:br/>
      </w:r>
      <w:r w:rsidRPr="00ED7418">
        <w:rPr>
          <w:rFonts w:ascii="Arial" w:eastAsia="Times New Roman" w:hAnsi="Arial" w:cs="Arial"/>
          <w:color w:val="222222"/>
          <w:sz w:val="24"/>
          <w:szCs w:val="24"/>
        </w:rPr>
        <w:lastRenderedPageBreak/>
        <w:t>      4) к автобусам относятся автомобили категории D (включая DE, D1E, D1), если иное не установлено подпунктом 1) настоящего пункта.</w:t>
      </w:r>
    </w:p>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 xml:space="preserve">      2. </w:t>
      </w:r>
      <w:proofErr w:type="gramStart"/>
      <w:r w:rsidRPr="00ED7418">
        <w:rPr>
          <w:rFonts w:ascii="Arial" w:eastAsia="Times New Roman" w:hAnsi="Arial" w:cs="Arial"/>
          <w:color w:val="222222"/>
          <w:sz w:val="24"/>
          <w:szCs w:val="24"/>
        </w:rPr>
        <w:t>При объеме двигателя легковых автомобилей свыше 1500 до 2000 кубических сантиметров включительно, облагаемого по ставке три месячных расчетных показателя, свыше 2000 до 2500 кубических сантиметров включительно, облагаемого по ставке шесть месячных расчетных показателей, свыше 2500 до 3000 кубических сантиметров включительно, облагаемого по ставке девять месячных расчетных показателей, свыше 3000 до 4000 кубических сантиметров включительно, облагаемого по ставке пятнадцать месячных расчетных</w:t>
      </w:r>
      <w:proofErr w:type="gramEnd"/>
      <w:r w:rsidRPr="00ED7418">
        <w:rPr>
          <w:rFonts w:ascii="Arial" w:eastAsia="Times New Roman" w:hAnsi="Arial" w:cs="Arial"/>
          <w:color w:val="222222"/>
          <w:sz w:val="24"/>
          <w:szCs w:val="24"/>
        </w:rPr>
        <w:t xml:space="preserve"> показателей, свыше 4000 кубических сантиметров, облагаемого по ставке сто семнадцать месячных расчетных показателей, сумма налога увеличивается за каждую единицу превышения соответствующей нижней границы объема двигателя на 7 тенге.</w:t>
      </w:r>
      <w:r w:rsidRPr="00ED7418">
        <w:rPr>
          <w:rFonts w:ascii="Arial" w:eastAsia="Times New Roman" w:hAnsi="Arial" w:cs="Arial"/>
          <w:color w:val="222222"/>
          <w:sz w:val="24"/>
          <w:szCs w:val="24"/>
        </w:rPr>
        <w:br/>
        <w:t xml:space="preserve">      2-1. </w:t>
      </w:r>
      <w:proofErr w:type="gramStart"/>
      <w:r w:rsidRPr="00ED7418">
        <w:rPr>
          <w:rFonts w:ascii="Arial" w:eastAsia="Times New Roman" w:hAnsi="Arial" w:cs="Arial"/>
          <w:color w:val="222222"/>
          <w:sz w:val="24"/>
          <w:szCs w:val="24"/>
        </w:rPr>
        <w:t>При объеме двигателя легковых автомобилей, произведенных (изготовленных или собранных) в Республике Казахстан после 31 декабря 2013 года или ввезенных на территорию Республики Казахстан после 31 декабря 2013 года, свыше 1 500 до 2 000 кубических сантиметров включительно, облагаемого по ставке три месячных расчетных показателя, свыше 2 000 до 2 500 кубических сантиметров включительно, облагаемого по ставке шесть месячных расчетных показателей</w:t>
      </w:r>
      <w:proofErr w:type="gramEnd"/>
      <w:r w:rsidRPr="00ED7418">
        <w:rPr>
          <w:rFonts w:ascii="Arial" w:eastAsia="Times New Roman" w:hAnsi="Arial" w:cs="Arial"/>
          <w:color w:val="222222"/>
          <w:sz w:val="24"/>
          <w:szCs w:val="24"/>
        </w:rPr>
        <w:t xml:space="preserve">, </w:t>
      </w:r>
      <w:proofErr w:type="gramStart"/>
      <w:r w:rsidRPr="00ED7418">
        <w:rPr>
          <w:rFonts w:ascii="Arial" w:eastAsia="Times New Roman" w:hAnsi="Arial" w:cs="Arial"/>
          <w:color w:val="222222"/>
          <w:sz w:val="24"/>
          <w:szCs w:val="24"/>
        </w:rPr>
        <w:t>свыше 2 500 до 3 000 кубических сантиметров включительно, облагаемого по ставке девять месячных расчетных показателей, свыше 3 000 до 3 200 кубических сантиметров включительно, облагаемого по ставке тридцать пять месячных расчетных показателей, свыше 3 200 до 3 500 кубических сантиметров включительно, облагаемого по ставке сорок шесть месячных расчетных показателей, свыше 3 500 до 4 000 кубических сантиметров включительно, облагаемого</w:t>
      </w:r>
      <w:proofErr w:type="gramEnd"/>
      <w:r w:rsidRPr="00ED7418">
        <w:rPr>
          <w:rFonts w:ascii="Arial" w:eastAsia="Times New Roman" w:hAnsi="Arial" w:cs="Arial"/>
          <w:color w:val="222222"/>
          <w:sz w:val="24"/>
          <w:szCs w:val="24"/>
        </w:rPr>
        <w:t xml:space="preserve"> </w:t>
      </w:r>
      <w:proofErr w:type="gramStart"/>
      <w:r w:rsidRPr="00ED7418">
        <w:rPr>
          <w:rFonts w:ascii="Arial" w:eastAsia="Times New Roman" w:hAnsi="Arial" w:cs="Arial"/>
          <w:color w:val="222222"/>
          <w:sz w:val="24"/>
          <w:szCs w:val="24"/>
        </w:rPr>
        <w:t>по ставке шестьдесят шесть месячных расчетных показателей, свыше 4 000 до 5 000 кубических сантиметров включительно, облагаемого по ставке сто тридцать месячных расчетных показателей, свыше 5 000 кубических сантиметров, облагаемого по ставке двести месячных расчетных показателей, сумма налога увеличивается на каждую единицу превышения соответствующей нижней границы объема двигателя на 7 тенге.</w:t>
      </w:r>
      <w:r w:rsidRPr="00ED7418">
        <w:rPr>
          <w:rFonts w:ascii="Arial" w:eastAsia="Times New Roman" w:hAnsi="Arial" w:cs="Arial"/>
          <w:color w:val="222222"/>
          <w:sz w:val="24"/>
          <w:szCs w:val="24"/>
        </w:rPr>
        <w:br/>
        <w:t>      2-2.</w:t>
      </w:r>
      <w:proofErr w:type="gramEnd"/>
      <w:r w:rsidRPr="00ED7418">
        <w:rPr>
          <w:rFonts w:ascii="Arial" w:eastAsia="Times New Roman" w:hAnsi="Arial" w:cs="Arial"/>
          <w:color w:val="222222"/>
          <w:sz w:val="24"/>
          <w:szCs w:val="24"/>
        </w:rPr>
        <w:t xml:space="preserve"> В целях настоящей статьи датой ввоза легковых автомобилей, ввезенных на территорию Республики Казахстан, считается дата их первичной государственной регистрации.</w:t>
      </w:r>
      <w:r w:rsidRPr="00ED7418">
        <w:rPr>
          <w:rFonts w:ascii="Arial" w:eastAsia="Times New Roman" w:hAnsi="Arial" w:cs="Arial"/>
          <w:color w:val="222222"/>
          <w:sz w:val="24"/>
          <w:szCs w:val="24"/>
        </w:rPr>
        <w:br/>
        <w:t>      3. В зависимости от срока эксплуатации к ставкам налога на летательные аппараты применяются следующие поправочные коэффициенты:</w:t>
      </w:r>
      <w:r w:rsidRPr="00ED7418">
        <w:rPr>
          <w:rFonts w:ascii="Arial" w:eastAsia="Times New Roman" w:hAnsi="Arial" w:cs="Arial"/>
          <w:color w:val="222222"/>
          <w:sz w:val="24"/>
          <w:szCs w:val="24"/>
        </w:rPr>
        <w:br/>
        <w:t>      1) на летательные аппараты, приобретенные после 1 апреля 1999 года из-за пределов Республики Казахстан:</w:t>
      </w:r>
      <w:r w:rsidRPr="00ED7418">
        <w:rPr>
          <w:rFonts w:ascii="Arial" w:eastAsia="Times New Roman" w:hAnsi="Arial" w:cs="Arial"/>
          <w:color w:val="222222"/>
          <w:sz w:val="24"/>
          <w:szCs w:val="24"/>
        </w:rPr>
        <w:br/>
        <w:t>      свыше 5 до 15 лет эксплуатации включительно - 2,0;</w:t>
      </w:r>
      <w:r w:rsidRPr="00ED7418">
        <w:rPr>
          <w:rFonts w:ascii="Arial" w:eastAsia="Times New Roman" w:hAnsi="Arial" w:cs="Arial"/>
          <w:color w:val="222222"/>
          <w:sz w:val="24"/>
          <w:szCs w:val="24"/>
        </w:rPr>
        <w:br/>
        <w:t>      свыше 15 лет эксплуатации - 3,0;</w:t>
      </w:r>
      <w:r w:rsidRPr="00ED7418">
        <w:rPr>
          <w:rFonts w:ascii="Arial" w:eastAsia="Times New Roman" w:hAnsi="Arial" w:cs="Arial"/>
          <w:color w:val="222222"/>
          <w:sz w:val="24"/>
          <w:szCs w:val="24"/>
        </w:rPr>
        <w:br/>
        <w:t>      2) на летательные аппараты, приобретенные до 1 апреля 1999 года, а также приобретенные после 1 апреля 1999 года и (или) находящиеся в эксплуатации в Республике Казахстан до 1 апреля 1999 года:</w:t>
      </w:r>
      <w:r w:rsidRPr="00ED7418">
        <w:rPr>
          <w:rFonts w:ascii="Arial" w:eastAsia="Times New Roman" w:hAnsi="Arial" w:cs="Arial"/>
          <w:color w:val="222222"/>
          <w:sz w:val="24"/>
          <w:szCs w:val="24"/>
        </w:rPr>
        <w:br/>
        <w:t>      свыше 5 до 15 лет эксплуатации включительно - 0,5;</w:t>
      </w:r>
      <w:r w:rsidRPr="00ED7418">
        <w:rPr>
          <w:rFonts w:ascii="Arial" w:eastAsia="Times New Roman" w:hAnsi="Arial" w:cs="Arial"/>
          <w:color w:val="222222"/>
          <w:sz w:val="24"/>
          <w:szCs w:val="24"/>
        </w:rPr>
        <w:br/>
        <w:t>      свыше 15 лет эксплуатации - 0,3.</w:t>
      </w:r>
      <w:r w:rsidRPr="00ED7418">
        <w:rPr>
          <w:rFonts w:ascii="Arial" w:eastAsia="Times New Roman" w:hAnsi="Arial" w:cs="Arial"/>
          <w:color w:val="222222"/>
          <w:sz w:val="24"/>
          <w:szCs w:val="24"/>
        </w:rPr>
        <w:br/>
      </w:r>
      <w:r w:rsidRPr="00ED7418">
        <w:rPr>
          <w:rFonts w:ascii="Arial" w:eastAsia="Times New Roman" w:hAnsi="Arial" w:cs="Arial"/>
          <w:color w:val="222222"/>
          <w:sz w:val="24"/>
          <w:szCs w:val="24"/>
        </w:rPr>
        <w:lastRenderedPageBreak/>
        <w:t>      4. Срок эксплуатации транспортного средства исчисляется исходя из года выпуска, указанного в паспорте транспортного средства (руководстве по летной эксплуатации воздушного судна).</w:t>
      </w:r>
      <w:r w:rsidRPr="00ED7418">
        <w:rPr>
          <w:rFonts w:ascii="Arial" w:eastAsia="Times New Roman" w:hAnsi="Arial" w:cs="Arial"/>
          <w:color w:val="222222"/>
          <w:sz w:val="24"/>
          <w:szCs w:val="24"/>
        </w:rPr>
        <w:br/>
        <w:t>      5. Для исчисления налога по грузовым и специальным автомобилям используется показатель грузоподъемности транспортного средства, указанный в инструкции и (или) руководстве по эксплуатации транспортного средства. Если в инструкции (руководстве) по эксплуатации транспортного средства показатель грузоподъемности не указан, он рассчитывается как разница между разрешенной максимальной массой транспортного средства и массой транспортного средства без нагрузки (массой снаряженного транспортного средства).</w:t>
      </w:r>
      <w:r w:rsidRPr="00ED7418">
        <w:rPr>
          <w:rFonts w:ascii="Arial" w:eastAsia="Times New Roman" w:hAnsi="Arial" w:cs="Arial"/>
          <w:color w:val="222222"/>
          <w:sz w:val="24"/>
          <w:szCs w:val="24"/>
        </w:rPr>
        <w:br/>
      </w:r>
      <w:r w:rsidRPr="00A43A24">
        <w:rPr>
          <w:rFonts w:ascii="Arial" w:eastAsia="Times New Roman" w:hAnsi="Arial" w:cs="Arial"/>
          <w:b/>
          <w:bCs/>
          <w:color w:val="222222"/>
          <w:sz w:val="24"/>
          <w:szCs w:val="24"/>
        </w:rPr>
        <w:t>Порядок исчисления налога</w:t>
      </w:r>
    </w:p>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 xml:space="preserve">      1. Налогоплательщик исчисляет сумму налога за налоговый </w:t>
      </w:r>
      <w:proofErr w:type="gramStart"/>
      <w:r w:rsidRPr="00ED7418">
        <w:rPr>
          <w:rFonts w:ascii="Arial" w:eastAsia="Times New Roman" w:hAnsi="Arial" w:cs="Arial"/>
          <w:color w:val="222222"/>
          <w:sz w:val="24"/>
          <w:szCs w:val="24"/>
        </w:rPr>
        <w:t>период</w:t>
      </w:r>
      <w:proofErr w:type="gramEnd"/>
      <w:r w:rsidRPr="00ED7418">
        <w:rPr>
          <w:rFonts w:ascii="Arial" w:eastAsia="Times New Roman" w:hAnsi="Arial" w:cs="Arial"/>
          <w:color w:val="222222"/>
          <w:sz w:val="24"/>
          <w:szCs w:val="24"/>
        </w:rPr>
        <w:t xml:space="preserve"> самостоятельно исходя из объектов налогообложения, налоговой ставки по каждому транспортному средству. В случае неуплаты или неполной уплаты налога физическими лицами в срок, установленный </w:t>
      </w:r>
      <w:hyperlink r:id="rId9" w:anchor="z3928" w:history="1">
        <w:r w:rsidRPr="00A43A24">
          <w:rPr>
            <w:rFonts w:ascii="Arial" w:eastAsia="Times New Roman" w:hAnsi="Arial" w:cs="Arial"/>
            <w:color w:val="0000FF"/>
            <w:sz w:val="24"/>
            <w:szCs w:val="24"/>
            <w:u w:val="single"/>
          </w:rPr>
          <w:t>пунктом 3</w:t>
        </w:r>
      </w:hyperlink>
      <w:r w:rsidRPr="00ED7418">
        <w:rPr>
          <w:rFonts w:ascii="Arial" w:eastAsia="Times New Roman" w:hAnsi="Arial" w:cs="Arial"/>
          <w:color w:val="222222"/>
          <w:sz w:val="24"/>
          <w:szCs w:val="24"/>
        </w:rPr>
        <w:t> статьи 369 настоящего Кодекса, исчисление налога производится налоговыми органами на основании сведений, представляемых уполномоченными органами, осуществляющими учет и регистрацию транспортных средств.</w:t>
      </w:r>
      <w:r w:rsidRPr="00ED7418">
        <w:rPr>
          <w:rFonts w:ascii="Arial" w:eastAsia="Times New Roman" w:hAnsi="Arial" w:cs="Arial"/>
          <w:color w:val="222222"/>
          <w:sz w:val="24"/>
          <w:szCs w:val="24"/>
        </w:rPr>
        <w:br/>
        <w:t xml:space="preserve">      Налогоплательщики, применяющие специальный налоговый режим для юридических лиц-производителей сельскохозяйственной продукции, продукции </w:t>
      </w:r>
      <w:proofErr w:type="spellStart"/>
      <w:r w:rsidRPr="00ED7418">
        <w:rPr>
          <w:rFonts w:ascii="Arial" w:eastAsia="Times New Roman" w:hAnsi="Arial" w:cs="Arial"/>
          <w:color w:val="222222"/>
          <w:sz w:val="24"/>
          <w:szCs w:val="24"/>
        </w:rPr>
        <w:t>аквакультуры</w:t>
      </w:r>
      <w:proofErr w:type="spellEnd"/>
      <w:r w:rsidRPr="00ED7418">
        <w:rPr>
          <w:rFonts w:ascii="Arial" w:eastAsia="Times New Roman" w:hAnsi="Arial" w:cs="Arial"/>
          <w:color w:val="222222"/>
          <w:sz w:val="24"/>
          <w:szCs w:val="24"/>
        </w:rPr>
        <w:t xml:space="preserve"> (рыбоводства) и сельских потребительских кооперативов, исчисляют налог с учетом особенности, установленной </w:t>
      </w:r>
      <w:hyperlink r:id="rId10" w:anchor="z4586" w:history="1">
        <w:r w:rsidRPr="00A43A24">
          <w:rPr>
            <w:rFonts w:ascii="Arial" w:eastAsia="Times New Roman" w:hAnsi="Arial" w:cs="Arial"/>
            <w:color w:val="0000FF"/>
            <w:sz w:val="24"/>
            <w:szCs w:val="24"/>
            <w:u w:val="single"/>
          </w:rPr>
          <w:t>статьей 451</w:t>
        </w:r>
      </w:hyperlink>
      <w:r w:rsidRPr="00ED7418">
        <w:rPr>
          <w:rFonts w:ascii="Arial" w:eastAsia="Times New Roman" w:hAnsi="Arial" w:cs="Arial"/>
          <w:color w:val="222222"/>
          <w:sz w:val="24"/>
          <w:szCs w:val="24"/>
        </w:rPr>
        <w:t> настоящего Кодекса. </w:t>
      </w:r>
      <w:r w:rsidRPr="00ED7418">
        <w:rPr>
          <w:rFonts w:ascii="Arial" w:eastAsia="Times New Roman" w:hAnsi="Arial" w:cs="Arial"/>
          <w:color w:val="222222"/>
          <w:sz w:val="24"/>
          <w:szCs w:val="24"/>
        </w:rPr>
        <w:br/>
        <w:t xml:space="preserve">      </w:t>
      </w:r>
      <w:proofErr w:type="gramStart"/>
      <w:r w:rsidRPr="00ED7418">
        <w:rPr>
          <w:rFonts w:ascii="Arial" w:eastAsia="Times New Roman" w:hAnsi="Arial" w:cs="Arial"/>
          <w:color w:val="222222"/>
          <w:sz w:val="24"/>
          <w:szCs w:val="24"/>
        </w:rPr>
        <w:t>В случае нахождения транспортного средства на праве собственности, праве хозяйственного ведения или праве оперативного управления менее налогового периода сумма налога исчисляется за период фактического нахождения транспортного средства на праве собственности, праве хозяйственного ведения или праве оперативного управления посредством деления годовой суммы налога на двенадцать и умножения на количество месяцев фактического нахождения транспортного средства на праве собственности, праве хозяйственного ведения или</w:t>
      </w:r>
      <w:proofErr w:type="gramEnd"/>
      <w:r w:rsidRPr="00ED7418">
        <w:rPr>
          <w:rFonts w:ascii="Arial" w:eastAsia="Times New Roman" w:hAnsi="Arial" w:cs="Arial"/>
          <w:color w:val="222222"/>
          <w:sz w:val="24"/>
          <w:szCs w:val="24"/>
        </w:rPr>
        <w:t xml:space="preserve"> </w:t>
      </w:r>
      <w:proofErr w:type="gramStart"/>
      <w:r w:rsidRPr="00ED7418">
        <w:rPr>
          <w:rFonts w:ascii="Arial" w:eastAsia="Times New Roman" w:hAnsi="Arial" w:cs="Arial"/>
          <w:color w:val="222222"/>
          <w:sz w:val="24"/>
          <w:szCs w:val="24"/>
        </w:rPr>
        <w:t>праве</w:t>
      </w:r>
      <w:proofErr w:type="gramEnd"/>
      <w:r w:rsidRPr="00ED7418">
        <w:rPr>
          <w:rFonts w:ascii="Arial" w:eastAsia="Times New Roman" w:hAnsi="Arial" w:cs="Arial"/>
          <w:color w:val="222222"/>
          <w:sz w:val="24"/>
          <w:szCs w:val="24"/>
        </w:rPr>
        <w:t xml:space="preserve"> оперативного управления, за исключением случая, предусмотренного пунктом 3 настоящей статьи. </w:t>
      </w:r>
      <w:r w:rsidRPr="00ED7418">
        <w:rPr>
          <w:rFonts w:ascii="Arial" w:eastAsia="Times New Roman" w:hAnsi="Arial" w:cs="Arial"/>
          <w:color w:val="222222"/>
          <w:sz w:val="24"/>
          <w:szCs w:val="24"/>
        </w:rPr>
        <w:br/>
        <w:t xml:space="preserve">      2. </w:t>
      </w:r>
      <w:proofErr w:type="gramStart"/>
      <w:r w:rsidRPr="00ED7418">
        <w:rPr>
          <w:rFonts w:ascii="Arial" w:eastAsia="Times New Roman" w:hAnsi="Arial" w:cs="Arial"/>
          <w:color w:val="222222"/>
          <w:sz w:val="24"/>
          <w:szCs w:val="24"/>
        </w:rPr>
        <w:t>При передаче права собственности, хозяйственного ведения или оперативного управления на объекты налогообложения в течение налогового периода сумма налога исчисляется в следующем порядке:</w:t>
      </w:r>
      <w:r w:rsidRPr="00ED7418">
        <w:rPr>
          <w:rFonts w:ascii="Arial" w:eastAsia="Times New Roman" w:hAnsi="Arial" w:cs="Arial"/>
          <w:color w:val="222222"/>
          <w:sz w:val="24"/>
          <w:szCs w:val="24"/>
        </w:rPr>
        <w:br/>
        <w:t>      1) для передающей стороны: </w:t>
      </w:r>
      <w:r w:rsidRPr="00ED7418">
        <w:rPr>
          <w:rFonts w:ascii="Arial" w:eastAsia="Times New Roman" w:hAnsi="Arial" w:cs="Arial"/>
          <w:color w:val="222222"/>
          <w:sz w:val="24"/>
          <w:szCs w:val="24"/>
        </w:rPr>
        <w:br/>
        <w:t>      по транспортным средствам, имеющимся на начало налогового периода, сумма налога исчисляется за период с начала налогового периода до первого числа месяца, в котором передано право собственности, право хозяйственного ведения или право оперативного управления на</w:t>
      </w:r>
      <w:proofErr w:type="gramEnd"/>
      <w:r w:rsidRPr="00ED7418">
        <w:rPr>
          <w:rFonts w:ascii="Arial" w:eastAsia="Times New Roman" w:hAnsi="Arial" w:cs="Arial"/>
          <w:color w:val="222222"/>
          <w:sz w:val="24"/>
          <w:szCs w:val="24"/>
        </w:rPr>
        <w:t xml:space="preserve"> </w:t>
      </w:r>
      <w:proofErr w:type="gramStart"/>
      <w:r w:rsidRPr="00ED7418">
        <w:rPr>
          <w:rFonts w:ascii="Arial" w:eastAsia="Times New Roman" w:hAnsi="Arial" w:cs="Arial"/>
          <w:color w:val="222222"/>
          <w:sz w:val="24"/>
          <w:szCs w:val="24"/>
        </w:rPr>
        <w:t>транспортное средство; </w:t>
      </w:r>
      <w:r w:rsidRPr="00ED7418">
        <w:rPr>
          <w:rFonts w:ascii="Arial" w:eastAsia="Times New Roman" w:hAnsi="Arial" w:cs="Arial"/>
          <w:color w:val="222222"/>
          <w:sz w:val="24"/>
          <w:szCs w:val="24"/>
        </w:rPr>
        <w:br/>
        <w:t xml:space="preserve">      по транспортным средствам, приобретенным в течение налогового периода, сумма налога исчисляется за период с первого числа месяца, в котором было приобретено право собственности, право хозяйственного ведения или право оперативного управления на транспортное средство, до первого числа месяца, в котором передано право собственности, право хозяйственного ведения или право </w:t>
      </w:r>
      <w:r w:rsidRPr="00ED7418">
        <w:rPr>
          <w:rFonts w:ascii="Arial" w:eastAsia="Times New Roman" w:hAnsi="Arial" w:cs="Arial"/>
          <w:color w:val="222222"/>
          <w:sz w:val="24"/>
          <w:szCs w:val="24"/>
        </w:rPr>
        <w:lastRenderedPageBreak/>
        <w:t>оперативного управления на транспортное средство;</w:t>
      </w:r>
      <w:proofErr w:type="gramEnd"/>
      <w:r w:rsidRPr="00ED7418">
        <w:rPr>
          <w:rFonts w:ascii="Arial" w:eastAsia="Times New Roman" w:hAnsi="Arial" w:cs="Arial"/>
          <w:color w:val="222222"/>
          <w:sz w:val="24"/>
          <w:szCs w:val="24"/>
        </w:rPr>
        <w:t> </w:t>
      </w:r>
      <w:r w:rsidRPr="00ED7418">
        <w:rPr>
          <w:rFonts w:ascii="Arial" w:eastAsia="Times New Roman" w:hAnsi="Arial" w:cs="Arial"/>
          <w:color w:val="222222"/>
          <w:sz w:val="24"/>
          <w:szCs w:val="24"/>
        </w:rPr>
        <w:br/>
        <w:t xml:space="preserve">      </w:t>
      </w:r>
      <w:proofErr w:type="gramStart"/>
      <w:r w:rsidRPr="00ED7418">
        <w:rPr>
          <w:rFonts w:ascii="Arial" w:eastAsia="Times New Roman" w:hAnsi="Arial" w:cs="Arial"/>
          <w:color w:val="222222"/>
          <w:sz w:val="24"/>
          <w:szCs w:val="24"/>
        </w:rPr>
        <w:t>2) для приобретающей стороны - сумма налога исчисляется за период с первого числа месяца, в котором приобретено право собственности, право хозяйственного ведения или право оперативного управления на транспортное средство, до конца налогового периода или до первого числа месяца, в котором приобретающей стороной впоследствии было передано право собственности, право хозяйственного ведения или право оперативного управления на указанное транспортное средство. </w:t>
      </w:r>
      <w:r w:rsidRPr="00ED7418">
        <w:rPr>
          <w:rFonts w:ascii="Arial" w:eastAsia="Times New Roman" w:hAnsi="Arial" w:cs="Arial"/>
          <w:color w:val="222222"/>
          <w:sz w:val="24"/>
          <w:szCs w:val="24"/>
        </w:rPr>
        <w:br/>
        <w:t>   3.</w:t>
      </w:r>
      <w:proofErr w:type="gramEnd"/>
      <w:r w:rsidRPr="00ED7418">
        <w:rPr>
          <w:rFonts w:ascii="Arial" w:eastAsia="Times New Roman" w:hAnsi="Arial" w:cs="Arial"/>
          <w:color w:val="222222"/>
          <w:sz w:val="24"/>
          <w:szCs w:val="24"/>
        </w:rPr>
        <w:t xml:space="preserve"> При передаче права собственности на объекты налогообложения между физическими лицами, не являющимися индивидуальными предпринимателями, частными нотариусами, частными судебными исполнителями, адвокатами, в случае, если в течение текущего налогового периода передающей стороной произведена уплата годовой суммы налога, такая уплата </w:t>
      </w:r>
      <w:proofErr w:type="gramStart"/>
      <w:r w:rsidRPr="00ED7418">
        <w:rPr>
          <w:rFonts w:ascii="Arial" w:eastAsia="Times New Roman" w:hAnsi="Arial" w:cs="Arial"/>
          <w:color w:val="222222"/>
          <w:sz w:val="24"/>
          <w:szCs w:val="24"/>
        </w:rPr>
        <w:t>налога</w:t>
      </w:r>
      <w:proofErr w:type="gramEnd"/>
      <w:r w:rsidRPr="00ED7418">
        <w:rPr>
          <w:rFonts w:ascii="Arial" w:eastAsia="Times New Roman" w:hAnsi="Arial" w:cs="Arial"/>
          <w:color w:val="222222"/>
          <w:sz w:val="24"/>
          <w:szCs w:val="24"/>
        </w:rPr>
        <w:t xml:space="preserve"> по согласованию сторон исходя из условий договоров купли-продажи, мены является исполнением налогового обязательства приобретающей стороны по уплате налога за текущий налоговый период по передаваемому объекту налогообложения.</w:t>
      </w:r>
      <w:r w:rsidRPr="00ED7418">
        <w:rPr>
          <w:rFonts w:ascii="Arial" w:eastAsia="Times New Roman" w:hAnsi="Arial" w:cs="Arial"/>
          <w:color w:val="222222"/>
          <w:sz w:val="24"/>
          <w:szCs w:val="24"/>
        </w:rPr>
        <w:br/>
        <w:t>      4. Физические лица при приобретении транспортного средства, не состоявшего на момент приобретения на учете в Республике Казахстан, исчисляют сумму налога за период с первого числа месяца, в котором возникло право собственности на транспортное средство, до конца налогового периода или до первого числа месяца, в котором право собственности прекращено.</w:t>
      </w:r>
      <w:r w:rsidRPr="00ED7418">
        <w:rPr>
          <w:rFonts w:ascii="Arial" w:eastAsia="Times New Roman" w:hAnsi="Arial" w:cs="Arial"/>
          <w:color w:val="222222"/>
          <w:sz w:val="24"/>
          <w:szCs w:val="24"/>
        </w:rPr>
        <w:br/>
        <w:t>      5. При снятии с учета транспортного средства в уполномоченном государственном органе в сфере регистрации транспортных средств, числящегося угнанным и (или) похищенным у владельцев, основанием для освобождения от уплаты налога на период розыска транспортного средства является документ, подтверждающий снятие с учета транспортного средства по данному основанию. </w:t>
      </w:r>
      <w:r w:rsidRPr="00ED7418">
        <w:rPr>
          <w:rFonts w:ascii="Arial" w:eastAsia="Times New Roman" w:hAnsi="Arial" w:cs="Arial"/>
          <w:color w:val="222222"/>
          <w:sz w:val="24"/>
          <w:szCs w:val="24"/>
        </w:rPr>
        <w:br/>
        <w:t>      Исполнение налогового обязательства осуществляется в порядке, предусмотренном </w:t>
      </w:r>
      <w:hyperlink r:id="rId11" w:anchor="z3898" w:history="1">
        <w:r w:rsidRPr="00A43A24">
          <w:rPr>
            <w:rFonts w:ascii="Arial" w:eastAsia="Times New Roman" w:hAnsi="Arial" w:cs="Arial"/>
            <w:color w:val="0000FF"/>
            <w:sz w:val="24"/>
            <w:szCs w:val="24"/>
            <w:u w:val="single"/>
          </w:rPr>
          <w:t>главой 51</w:t>
        </w:r>
      </w:hyperlink>
      <w:r w:rsidRPr="00ED7418">
        <w:rPr>
          <w:rFonts w:ascii="Arial" w:eastAsia="Times New Roman" w:hAnsi="Arial" w:cs="Arial"/>
          <w:color w:val="222222"/>
          <w:sz w:val="24"/>
          <w:szCs w:val="24"/>
        </w:rPr>
        <w:t> настоящего Кодекса, с момента возвращения разыскиваемого транспортного средства владельцу. </w:t>
      </w:r>
      <w:r w:rsidRPr="00ED7418">
        <w:rPr>
          <w:rFonts w:ascii="Arial" w:eastAsia="Times New Roman" w:hAnsi="Arial" w:cs="Arial"/>
          <w:color w:val="222222"/>
          <w:sz w:val="24"/>
          <w:szCs w:val="24"/>
        </w:rPr>
        <w:br/>
        <w:t xml:space="preserve">      6. </w:t>
      </w:r>
      <w:proofErr w:type="gramStart"/>
      <w:r w:rsidRPr="00ED7418">
        <w:rPr>
          <w:rFonts w:ascii="Arial" w:eastAsia="Times New Roman" w:hAnsi="Arial" w:cs="Arial"/>
          <w:color w:val="222222"/>
          <w:sz w:val="24"/>
          <w:szCs w:val="24"/>
        </w:rPr>
        <w:t>Юридические лица по транспортным средствам, находящимся на начало налогового периода на праве собственности, праве хозяйственного ведения или праве оперативного управления, а также по транспортным средствам, по которым возникли и (или) прекращены такие права в период с начала налогового периода до 1 июля налогового периода, исчисляют текущие платежи:</w:t>
      </w:r>
      <w:r w:rsidRPr="00ED7418">
        <w:rPr>
          <w:rFonts w:ascii="Arial" w:eastAsia="Times New Roman" w:hAnsi="Arial" w:cs="Arial"/>
          <w:color w:val="222222"/>
          <w:sz w:val="24"/>
          <w:szCs w:val="24"/>
        </w:rPr>
        <w:br/>
        <w:t>      1) в случае, если право собственности, право хозяйственного ведения или право оперативного управления</w:t>
      </w:r>
      <w:proofErr w:type="gramEnd"/>
      <w:r w:rsidRPr="00ED7418">
        <w:rPr>
          <w:rFonts w:ascii="Arial" w:eastAsia="Times New Roman" w:hAnsi="Arial" w:cs="Arial"/>
          <w:color w:val="222222"/>
          <w:sz w:val="24"/>
          <w:szCs w:val="24"/>
        </w:rPr>
        <w:t xml:space="preserve"> </w:t>
      </w:r>
      <w:proofErr w:type="gramStart"/>
      <w:r w:rsidRPr="00ED7418">
        <w:rPr>
          <w:rFonts w:ascii="Arial" w:eastAsia="Times New Roman" w:hAnsi="Arial" w:cs="Arial"/>
          <w:color w:val="222222"/>
          <w:sz w:val="24"/>
          <w:szCs w:val="24"/>
        </w:rPr>
        <w:t>на транспортные средства возникло в период с начала налогового периода до 1 июля налогового периода и не прекращено до 1 июля налогового периода - в размере суммы налога, исчисленной за период с первого числа месяца, в котором возникло право собственности, право хозяйственного ведения или право оперативного управления на транспортные средства, до конца налогового периода;</w:t>
      </w:r>
      <w:proofErr w:type="gramEnd"/>
      <w:r w:rsidRPr="00ED7418">
        <w:rPr>
          <w:rFonts w:ascii="Arial" w:eastAsia="Times New Roman" w:hAnsi="Arial" w:cs="Arial"/>
          <w:color w:val="222222"/>
          <w:sz w:val="24"/>
          <w:szCs w:val="24"/>
        </w:rPr>
        <w:br/>
        <w:t xml:space="preserve">      </w:t>
      </w:r>
      <w:proofErr w:type="gramStart"/>
      <w:r w:rsidRPr="00ED7418">
        <w:rPr>
          <w:rFonts w:ascii="Arial" w:eastAsia="Times New Roman" w:hAnsi="Arial" w:cs="Arial"/>
          <w:color w:val="222222"/>
          <w:sz w:val="24"/>
          <w:szCs w:val="24"/>
        </w:rPr>
        <w:t>2) в случае, если в период с начала налогового периода до 1 июля налогового периода право собственности, право хозяйственного ведения или право оперативного управления на транспортные средства:</w:t>
      </w:r>
      <w:r w:rsidRPr="00ED7418">
        <w:rPr>
          <w:rFonts w:ascii="Arial" w:eastAsia="Times New Roman" w:hAnsi="Arial" w:cs="Arial"/>
          <w:color w:val="222222"/>
          <w:sz w:val="24"/>
          <w:szCs w:val="24"/>
        </w:rPr>
        <w:br/>
        <w:t xml:space="preserve">      прекращено - в размере суммы налога, исчисленной за период с начала налогового периода до первого числа месяца, в котором прекращено право </w:t>
      </w:r>
      <w:r w:rsidRPr="00ED7418">
        <w:rPr>
          <w:rFonts w:ascii="Arial" w:eastAsia="Times New Roman" w:hAnsi="Arial" w:cs="Arial"/>
          <w:color w:val="222222"/>
          <w:sz w:val="24"/>
          <w:szCs w:val="24"/>
        </w:rPr>
        <w:lastRenderedPageBreak/>
        <w:t>собственности, право хозяйственного ведения или право оперативного управления на транспортные средства;</w:t>
      </w:r>
      <w:proofErr w:type="gramEnd"/>
      <w:r w:rsidRPr="00ED7418">
        <w:rPr>
          <w:rFonts w:ascii="Arial" w:eastAsia="Times New Roman" w:hAnsi="Arial" w:cs="Arial"/>
          <w:color w:val="222222"/>
          <w:sz w:val="24"/>
          <w:szCs w:val="24"/>
        </w:rPr>
        <w:br/>
        <w:t xml:space="preserve">      </w:t>
      </w:r>
      <w:proofErr w:type="gramStart"/>
      <w:r w:rsidRPr="00ED7418">
        <w:rPr>
          <w:rFonts w:ascii="Arial" w:eastAsia="Times New Roman" w:hAnsi="Arial" w:cs="Arial"/>
          <w:color w:val="222222"/>
          <w:sz w:val="24"/>
          <w:szCs w:val="24"/>
        </w:rPr>
        <w:t>возникло и прекращено - в размере суммы налога, исчисленной за период с первого числа месяца, в котором возникло право собственности, право хозяйственного ведения или право оперативного управления на транспортные средства, до первого числа месяца, в котором прекращено право собственности, право хозяйственного ведения или право оперативного управления на такие транспортные средства;</w:t>
      </w:r>
      <w:r w:rsidRPr="00ED7418">
        <w:rPr>
          <w:rFonts w:ascii="Arial" w:eastAsia="Times New Roman" w:hAnsi="Arial" w:cs="Arial"/>
          <w:color w:val="222222"/>
          <w:sz w:val="24"/>
          <w:szCs w:val="24"/>
        </w:rPr>
        <w:br/>
        <w:t>      3) в остальных случаях - в размере годовой суммы налога.</w:t>
      </w:r>
      <w:proofErr w:type="gramEnd"/>
      <w:r w:rsidRPr="00ED7418">
        <w:rPr>
          <w:rFonts w:ascii="Arial" w:eastAsia="Times New Roman" w:hAnsi="Arial" w:cs="Arial"/>
          <w:color w:val="222222"/>
          <w:sz w:val="24"/>
          <w:szCs w:val="24"/>
        </w:rPr>
        <w:t xml:space="preserve"> </w:t>
      </w:r>
      <w:proofErr w:type="gramStart"/>
      <w:r w:rsidRPr="00ED7418">
        <w:rPr>
          <w:rFonts w:ascii="Arial" w:eastAsia="Times New Roman" w:hAnsi="Arial" w:cs="Arial"/>
          <w:color w:val="222222"/>
          <w:sz w:val="24"/>
          <w:szCs w:val="24"/>
        </w:rPr>
        <w:t>При этом в случае прекращения права собственности, права хозяйственного ведения или права оперативного управления на транспортные средства в период с 1 июля налогового периода до конца налогового периода в декларации указывается сумма налога, исчисленная за период с начала налогового периода до первого числа месяца, в котором прекращено право собственности, право хозяйственного ведения или право оперативного управления на транспортные средства.</w:t>
      </w:r>
      <w:proofErr w:type="gramEnd"/>
      <w:r w:rsidRPr="00ED7418">
        <w:rPr>
          <w:rFonts w:ascii="Arial" w:eastAsia="Times New Roman" w:hAnsi="Arial" w:cs="Arial"/>
          <w:color w:val="222222"/>
          <w:sz w:val="24"/>
          <w:szCs w:val="24"/>
        </w:rPr>
        <w:br/>
        <w:t>      Юридические лица не исчисляют текущие платежи и не представляют расчет текущих платежей по транспортным средствам, по которым право собственности, право хозяйственного ведения или право оперативного управления возникло в период с 1 июля налогового периода до конца налогового периода. При этом в декларации указывается сумма налога, исчисленная в порядке, установленном подпунктом 2) пункта 2 настоящей статьи.</w:t>
      </w:r>
    </w:p>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A43A24">
        <w:rPr>
          <w:rFonts w:ascii="Arial" w:eastAsia="Times New Roman" w:hAnsi="Arial" w:cs="Arial"/>
          <w:b/>
          <w:bCs/>
          <w:color w:val="222222"/>
          <w:sz w:val="24"/>
          <w:szCs w:val="24"/>
        </w:rPr>
        <w:t>Сроки уплаты налога</w:t>
      </w:r>
    </w:p>
    <w:p w:rsidR="00ED7418" w:rsidRPr="00ED7418" w:rsidRDefault="00ED7418" w:rsidP="00A43A24">
      <w:pPr>
        <w:spacing w:before="100" w:beforeAutospacing="1" w:after="100" w:afterAutospacing="1"/>
        <w:jc w:val="both"/>
        <w:rPr>
          <w:rFonts w:ascii="Arial" w:eastAsia="Times New Roman" w:hAnsi="Arial" w:cs="Arial"/>
          <w:color w:val="222222"/>
          <w:sz w:val="24"/>
          <w:szCs w:val="24"/>
        </w:rPr>
      </w:pPr>
      <w:r w:rsidRPr="00ED7418">
        <w:rPr>
          <w:rFonts w:ascii="Arial" w:eastAsia="Times New Roman" w:hAnsi="Arial" w:cs="Arial"/>
          <w:color w:val="222222"/>
          <w:sz w:val="24"/>
          <w:szCs w:val="24"/>
        </w:rPr>
        <w:t>Сроком уплаты налога в бюджет для физических лиц является дата не позднее 31 декабря налогового периода.</w:t>
      </w:r>
      <w:r w:rsidRPr="00ED7418">
        <w:rPr>
          <w:rFonts w:ascii="Arial" w:eastAsia="Times New Roman" w:hAnsi="Arial" w:cs="Arial"/>
          <w:color w:val="222222"/>
          <w:sz w:val="24"/>
          <w:szCs w:val="24"/>
        </w:rPr>
        <w:br/>
        <w:t>      Уплата налога производится по месту регистрации объектов обложения.</w:t>
      </w:r>
      <w:r w:rsidRPr="00ED7418">
        <w:rPr>
          <w:rFonts w:ascii="Arial" w:eastAsia="Times New Roman" w:hAnsi="Arial" w:cs="Arial"/>
          <w:color w:val="222222"/>
          <w:sz w:val="24"/>
          <w:szCs w:val="24"/>
        </w:rPr>
        <w:br/>
        <w:t>      В случае прохождения регистрации, перерегистрации, государственного или обязательного технического осмотра транспортных средств, физические лица производят исчисление и уплату налога в бюджет до совершения указанных действий в порядке, установленном настоящим Кодексом.</w:t>
      </w:r>
      <w:r w:rsidRPr="00ED7418">
        <w:rPr>
          <w:rFonts w:ascii="Arial" w:eastAsia="Times New Roman" w:hAnsi="Arial" w:cs="Arial"/>
          <w:color w:val="222222"/>
          <w:sz w:val="24"/>
          <w:szCs w:val="24"/>
        </w:rPr>
        <w:br/>
        <w:t xml:space="preserve">      </w:t>
      </w:r>
      <w:proofErr w:type="gramStart"/>
      <w:r w:rsidRPr="00ED7418">
        <w:rPr>
          <w:rFonts w:ascii="Arial" w:eastAsia="Times New Roman" w:hAnsi="Arial" w:cs="Arial"/>
          <w:color w:val="222222"/>
          <w:sz w:val="24"/>
          <w:szCs w:val="24"/>
        </w:rPr>
        <w:t>Уплата налога на транспортные средства за налоговый период физическим лицом, являющимся поверенным на основании доверенности на управление транспортным средством с правом отчуждения, от имени собственника транспортного средства является исполнением налогового обязательства собственника транспортного средства за данный налоговый период.</w:t>
      </w:r>
      <w:proofErr w:type="gramEnd"/>
    </w:p>
    <w:p w:rsidR="00CC31D0" w:rsidRPr="00A43A24" w:rsidRDefault="00CC31D0" w:rsidP="00A43A24">
      <w:pPr>
        <w:rPr>
          <w:rFonts w:ascii="Arial" w:hAnsi="Arial" w:cs="Arial"/>
          <w:sz w:val="24"/>
          <w:szCs w:val="24"/>
        </w:rPr>
      </w:pPr>
    </w:p>
    <w:sectPr w:rsidR="00CC31D0" w:rsidRPr="00A43A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D7418"/>
    <w:rsid w:val="00A43A24"/>
    <w:rsid w:val="00CC31D0"/>
    <w:rsid w:val="00ED7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ED741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ED7418"/>
    <w:rPr>
      <w:color w:val="0000FF"/>
      <w:u w:val="single"/>
    </w:rPr>
  </w:style>
  <w:style w:type="character" w:styleId="a4">
    <w:name w:val="Strong"/>
    <w:basedOn w:val="a0"/>
    <w:uiPriority w:val="22"/>
    <w:qFormat/>
    <w:rsid w:val="00ED7418"/>
    <w:rPr>
      <w:b/>
      <w:bCs/>
    </w:rPr>
  </w:style>
</w:styles>
</file>

<file path=word/webSettings.xml><?xml version="1.0" encoding="utf-8"?>
<w:webSettings xmlns:r="http://schemas.openxmlformats.org/officeDocument/2006/relationships" xmlns:w="http://schemas.openxmlformats.org/wordprocessingml/2006/main">
  <w:divs>
    <w:div w:id="191936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61.43.123/rus/docs/K080000099_"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10.61.43.123/rus/docs/K080000099_"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61.43.123/rus/docs/P1500000315" TargetMode="External"/><Relationship Id="rId11" Type="http://schemas.openxmlformats.org/officeDocument/2006/relationships/hyperlink" Target="http://10.61.43.123/rus/docs/K080000099_" TargetMode="External"/><Relationship Id="rId5" Type="http://schemas.openxmlformats.org/officeDocument/2006/relationships/hyperlink" Target="http://10.61.43.123/rus/docs/K080000099_" TargetMode="External"/><Relationship Id="rId10" Type="http://schemas.openxmlformats.org/officeDocument/2006/relationships/hyperlink" Target="http://10.61.43.123/rus/docs/K080000099_" TargetMode="External"/><Relationship Id="rId4" Type="http://schemas.openxmlformats.org/officeDocument/2006/relationships/hyperlink" Target="http://10.61.43.123/rus/docs/P1500000316" TargetMode="External"/><Relationship Id="rId9" Type="http://schemas.openxmlformats.org/officeDocument/2006/relationships/hyperlink" Target="http://10.61.43.123/rus/docs/K08000009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2927</Words>
  <Characters>16690</Characters>
  <Application>Microsoft Office Word</Application>
  <DocSecurity>0</DocSecurity>
  <Lines>139</Lines>
  <Paragraphs>39</Paragraphs>
  <ScaleCrop>false</ScaleCrop>
  <Company>Reanimator Extreme Edition</Company>
  <LinksUpToDate>false</LinksUpToDate>
  <CharactersWithSpaces>19578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Бекбердиев Темирлан Тауекелович</dc:creator>
  <cp:keywords/>
  <dc:description/>
  <cp:lastModifiedBy>Бекбердиев Темирлан Тауекелович</cp:lastModifiedBy>
  <cp:revision>2</cp:revision>
  <dcterms:created xsi:type="dcterms:W3CDTF">2016-07-12T12:12:00Z</dcterms:created>
  <dcterms:modified xsi:type="dcterms:W3CDTF">2016-07-12T12:12:00Z</dcterms:modified>
</cp:coreProperties>
</file>