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25" w:rsidRPr="00A47225" w:rsidRDefault="00A47225" w:rsidP="00A47225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1.Егер осы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бапта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өзгеше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белгіленбесе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құқығында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объектілері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шаруашылық жүргізу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жедел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құқығында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объектілері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бар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заңды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көлік құралдары салығын төлеушілер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A47225" w:rsidRPr="00A47225" w:rsidRDefault="00A47225" w:rsidP="00A47225">
      <w:pPr>
        <w:spacing w:beforeAutospacing="1" w:after="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3.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бапта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өзгеше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белгіленбесе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мыналар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1)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ауыл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шаруашылығы өнімін, акваө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сіру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(балық өсіру шаруашылығы) өнімін өндіруші заңды тұлғалар, сондай-ақ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шаруа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фермер қожалығының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басшысы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мүшелері Қазақстан Республикасының Үкіметі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тізбеге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енгізілген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ауыл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шаруашылығы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техникасы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2)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табысына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Кодекстің 147-бабының 2-тармағында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мөлшерлеме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жалпыға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бірдей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салу тәртібін қолданатын,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ауыл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шаруашылығы өнімін, акваө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сіру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(балық өсіру шаруашылығы) өнімін өндіруші заңды тұлғалар, сондай-ақ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шаруа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фермер қожалығының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басшысы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мүшелері Қазақстан Республикасының Үкіметі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қажеттілік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нормативтері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шегінде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жеңіл және жүк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өлік құралдары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3)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мемлекеттік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мекемелер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4)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объектiсi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бiр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автокөлiк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Ұлы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соғысына қатысушылар,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солар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ға теңестiрiлетiн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адамдар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Ұлы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соғысы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жылдарында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тылдағы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қиярлық еңбегi мен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мінсiз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әскери қызметi үшiн бұрынғы КСР Одағы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ордендерiмен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медальдарымен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наградталған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адамдар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сондай-ақ 1941 жылғы 22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маусымнан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1945 жылғы 9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мамыр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ға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аралықта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кемінде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алты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 жұмыс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істеген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(қызмет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еткен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және Ұлы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соғысы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жылдарында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тылдағы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қиярлық еңбегi мен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мінсiз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әскери қызметi үшiн бұрынғы КСР Одағы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ордендерiмен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медальдарымен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наградталмаған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адамдар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5)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объектiсi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бiр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автокөлiк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–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меншiгiнде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мотоколяскалары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бар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үгедектер;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6)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объектiсi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бiр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автокөлiк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– Кеңес Одағының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Батырлары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Социалистiк</w:t>
      </w:r>
      <w:proofErr w:type="spellEnd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Е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ңбек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Ерлерi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"Халық қаhарманы", "Қазақстанның Еңбек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" атақтарына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ие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болған, Даңқ орденiнің үш дәрежесімен және "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"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орденiмен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наградталған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адамдар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"Ардақты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" атағын алған, "Алтын алқа", "Күмiс алқа" алқаларымен наградталған кө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балалы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аналар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7)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ауыл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шаруашылығы құралымынан шығу нәтижесiнде пай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ретiнде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алынған,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мерзiмi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жетi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асқан жүк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көлiк құралдары салығын төлеушiлер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табылмайды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Осы тармақтың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бөлігі 1) және 2) тармақшаларының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ережелері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осындай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құралдарын пайдалануға,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сенімгерлік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басқаруға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жалға беру жағдайларына қолданылмайды.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>      Осы баптың 3-тармағының </w:t>
      </w:r>
      <w:hyperlink r:id="rId4" w:anchor="z3258" w:history="1">
        <w:r w:rsidRPr="00A47225">
          <w:rPr>
            <w:rFonts w:ascii="Arial" w:eastAsia="Times New Roman" w:hAnsi="Arial" w:cs="Arial"/>
            <w:color w:val="9A1616"/>
            <w:spacing w:val="1"/>
            <w:sz w:val="24"/>
            <w:szCs w:val="24"/>
            <w:u w:val="single"/>
          </w:rPr>
          <w:t>4)</w:t>
        </w:r>
      </w:hyperlink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 – </w:t>
      </w:r>
      <w:hyperlink r:id="rId5" w:anchor="z3260" w:history="1">
        <w:r w:rsidRPr="00A47225">
          <w:rPr>
            <w:rFonts w:ascii="Arial" w:eastAsia="Times New Roman" w:hAnsi="Arial" w:cs="Arial"/>
            <w:color w:val="9A1616"/>
            <w:spacing w:val="1"/>
            <w:sz w:val="24"/>
            <w:szCs w:val="24"/>
            <w:u w:val="single"/>
          </w:rPr>
          <w:t>6) тармақшаларында</w:t>
        </w:r>
      </w:hyperlink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көзделген норма,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мұндай автокөлік құралдары 2013 жылғы 31 желтоқсаннан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уәкілетті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органда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(қайта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), қ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оз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ғалтқышының көлемі 4000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сантиметрден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жоғары жеңіл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табылса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, осы тармақшаларда аталған адамдарға қатысты қолданылмайды.</w:t>
      </w:r>
    </w:p>
    <w:p w:rsidR="00A47225" w:rsidRPr="00A47225" w:rsidRDefault="00A47225" w:rsidP="00A47225">
      <w:pPr>
        <w:spacing w:after="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Салық салу </w:t>
      </w:r>
      <w:proofErr w:type="spellStart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объект</w:t>
      </w:r>
      <w:proofErr w:type="gramStart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i</w:t>
      </w:r>
      <w:proofErr w:type="gramEnd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лерi</w:t>
      </w:r>
      <w:proofErr w:type="spellEnd"/>
    </w:p>
    <w:p w:rsidR="00A47225" w:rsidRPr="00A47225" w:rsidRDefault="00A47225" w:rsidP="00A47225">
      <w:pPr>
        <w:spacing w:after="36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 xml:space="preserve">      1. Қазақстан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Республикасында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мемлекеттiк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тiркеуге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жататын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ған,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тiркемелердi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қоспағанда, көлiк құралдары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объектiлерi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2.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Мыналар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: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1) жүк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өтергiштiгi 40 тонна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асатын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карьерлiк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автосамосвалдар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>      2) мамандандырылған медициналық көлiк құралдары;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3) Қазақстан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Республикасы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халықаралық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кеме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тізілімінде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теңіз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кемелері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объектiлерi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табылмайды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A47225" w:rsidRPr="00A47225" w:rsidRDefault="00A47225" w:rsidP="00A47225">
      <w:pPr>
        <w:spacing w:after="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Салық </w:t>
      </w:r>
      <w:proofErr w:type="gramStart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м</w:t>
      </w:r>
      <w:proofErr w:type="gramEnd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өлшерлемелері</w:t>
      </w:r>
    </w:p>
    <w:p w:rsidR="00A47225" w:rsidRPr="00A47225" w:rsidRDefault="00A47225" w:rsidP="00A47225">
      <w:pPr>
        <w:spacing w:after="36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бапта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өзгеше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белгіленбесе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салықты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өрсеткіштермен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мынадай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мөлшерлемелер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жүргізіледі:</w:t>
      </w:r>
    </w:p>
    <w:tbl>
      <w:tblPr>
        <w:tblW w:w="0" w:type="auto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581"/>
        <w:gridCol w:w="2330"/>
      </w:tblGrid>
      <w:tr w:rsidR="00A47225" w:rsidRPr="00A47225" w:rsidTr="00A47225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Рет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br/>
              <w:t>№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Салық салу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объекті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Салық мөлшерлемесі (айлық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есептік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өрсеткіш)</w:t>
            </w:r>
          </w:p>
        </w:tc>
      </w:tr>
      <w:tr w:rsidR="00A47225" w:rsidRPr="00A47225" w:rsidTr="00A47225">
        <w:tc>
          <w:tcPr>
            <w:tcW w:w="5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A47225" w:rsidRPr="00A47225" w:rsidTr="00A47225">
        <w:tc>
          <w:tcPr>
            <w:tcW w:w="57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Двигателінің көлемі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мынадай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жеңі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автомобильдер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текше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см.):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1100-ге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дейін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1100-ден жоғары 1500-ді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1500-ден жоғары 2000-ды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2000-нан жоғары 2500-ді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2500-ден жоғары 3000-ды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3000-нан жоғары 4000-ды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4000-нан жоғары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117</w:t>
            </w:r>
          </w:p>
        </w:tc>
      </w:tr>
      <w:tr w:rsidR="00A47225" w:rsidRPr="00A47225" w:rsidTr="00A47225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Жүк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өтергіштігі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мынадай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жүк,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арнайы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автомобильдер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тіркемелерді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есептемегенде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):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тонна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ға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дейін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алғанда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тоннадан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жоғары 1,5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тоннаны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1,5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тоннадан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жоғары 5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тоннаны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5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тоннадан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жоғары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A47225" w:rsidRPr="00A47225" w:rsidTr="00A47225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Тракторлар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өздігінен жүретін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ауыл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шаруашылығы,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мелиоративтік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және жо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л-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құрылыс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машиналары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мен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механизмдері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жүріп өту мүмкіндігі жоғары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арнайы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машиналар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және жалпыға ортақ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пайдаланылатын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автомобиль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жолдарында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жүруге арналмаған басқа да автокөлік құралдары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A47225" w:rsidRPr="00A47225" w:rsidTr="00A47225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Автобустар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отыратын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12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орын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ға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дейін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алғанда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отыратын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12-ден жоғары 25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орынды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14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отыратын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25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орыннан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жоғары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20</w:t>
            </w:r>
          </w:p>
        </w:tc>
      </w:tr>
      <w:tr w:rsidR="00A47225" w:rsidRPr="00A47225" w:rsidTr="00A47225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Мотоциклдер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мотороллерлер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мотошаналар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шағын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кемелер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, двигателінің қуаты: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55 кВ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т-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ға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дейін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алғанда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55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кВт-дан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асатын</w:t>
            </w:r>
            <w:proofErr w:type="spellEnd"/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A47225" w:rsidRPr="00A47225" w:rsidTr="00A47225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Катерлер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кемелер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буксирлер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баржалар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яхталар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(двигателінің қуаты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мынадай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ат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күшіне тең):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160-қа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дейін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160-тан жоғары 500-ді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18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500-ден жоғары 1000-ды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32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1000-нан жоғары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55</w:t>
            </w:r>
          </w:p>
        </w:tc>
      </w:tr>
      <w:tr w:rsidR="00A47225" w:rsidRPr="00A47225" w:rsidTr="00A47225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Ұшу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аппараттары</w:t>
            </w:r>
            <w:proofErr w:type="spellEnd"/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әрбір киловатт қуаттан айлық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есептік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өрсеткіштің 4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пайызы</w:t>
            </w:r>
            <w:proofErr w:type="spellEnd"/>
          </w:p>
        </w:tc>
      </w:tr>
      <w:tr w:rsidR="00A47225" w:rsidRPr="00A47225" w:rsidTr="00A47225">
        <w:tc>
          <w:tcPr>
            <w:tcW w:w="0" w:type="auto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Мыналар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:</w:t>
            </w: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br/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кез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келген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санаттағы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поездарды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магистральдық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жолдармен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жүргiзу үшiн;</w:t>
            </w: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br/>
              <w:t xml:space="preserve">магистральдық, станциялық және тар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табанды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және (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немесе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) кең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табанды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кiрме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жолдарда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маневр жұмыстарын жүргiзу үшiн;</w:t>
            </w: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br/>
              <w:t xml:space="preserve">өнеркәсiптiк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теміржол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көлiгi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жолдары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мен магистральдық және станциялық жолдарға шықпайтын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жолдарда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пайдаланылатын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теміржолдың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жылжымалы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тартқыш құрамы</w:t>
            </w:r>
            <w:proofErr w:type="gramEnd"/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көлiк құралының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жалпы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қуатының әрбі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киловатынан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айлық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есептiк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көрсеткiштiң 1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пайызы</w:t>
            </w:r>
            <w:proofErr w:type="spellEnd"/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Тар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табанды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және кең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табанды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магистральдық және станциялық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жолдармен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жолаушылар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тасымалдауды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ұйымдастыру үшiн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пайдаланылатын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моторлы-вагонды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жылжымалы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құрам, сондай-ақ қалалық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рельстік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өліктің көлік құралдары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көлiк құралының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жалпы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қуатының әрбі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киловатынан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айлық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есептiк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көрсеткiштiң 1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пайызы</w:t>
            </w:r>
            <w:proofErr w:type="spellEnd"/>
          </w:p>
        </w:tc>
      </w:tr>
    </w:tbl>
    <w:p w:rsidR="00A47225" w:rsidRPr="00A47225" w:rsidRDefault="00A47225" w:rsidP="00A47225">
      <w:pPr>
        <w:spacing w:after="36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A47225" w:rsidRPr="00A47225" w:rsidRDefault="00A47225" w:rsidP="00A47225">
      <w:pPr>
        <w:spacing w:after="36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     Қазақстан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Республикасында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2013 жылғы 31 желтоқсаннан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шығарылған (жасалған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құрастырылған)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Қазақстан Республикасының аумағына 2013 жылғы 31 желтоқсаннан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әкелінген, қ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оз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ғалтқышының көлемі 3000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сантиметрден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жоғары жеңіл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үшін салықты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көрсеткiштермен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белгiленген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мынадай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мөлшерлемелер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жүрг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зiледi:</w:t>
      </w:r>
    </w:p>
    <w:tbl>
      <w:tblPr>
        <w:tblW w:w="5000" w:type="pct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6094"/>
        <w:gridCol w:w="2420"/>
      </w:tblGrid>
      <w:tr w:rsidR="00A47225" w:rsidRPr="00A47225" w:rsidTr="00A47225">
        <w:tc>
          <w:tcPr>
            <w:tcW w:w="5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/с №</w:t>
            </w: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Салық салу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объекті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Салық мөлшерлемесі (айлық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есептік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өрсеткіш)</w:t>
            </w:r>
          </w:p>
        </w:tc>
      </w:tr>
      <w:tr w:rsidR="00A47225" w:rsidRPr="00A47225" w:rsidTr="00A47225">
        <w:tc>
          <w:tcPr>
            <w:tcW w:w="50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A47225" w:rsidRPr="00A47225" w:rsidTr="00A47225">
        <w:tc>
          <w:tcPr>
            <w:tcW w:w="500" w:type="pct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Қ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оз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ғалтқышының көлемі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мынадай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жеңіл 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lastRenderedPageBreak/>
              <w:t>автомобильдер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текше</w:t>
            </w:r>
            <w:proofErr w:type="spell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 см.):</w:t>
            </w:r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3 000-нан жоғары 3 200-ді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35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3 200-ден жоғары 3 500-ді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46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3 500-ден жоғары 4 000-ды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66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 xml:space="preserve">4 000-нан жоғары 5 000-ды қоса </w:t>
            </w:r>
            <w:proofErr w:type="gramStart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ал</w:t>
            </w:r>
            <w:proofErr w:type="gramEnd"/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ғанда</w:t>
            </w:r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130</w:t>
            </w:r>
          </w:p>
        </w:tc>
      </w:tr>
      <w:tr w:rsidR="00A47225" w:rsidRPr="00A47225" w:rsidTr="00A47225"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47225" w:rsidRPr="00A47225" w:rsidRDefault="00A47225" w:rsidP="00A47225">
            <w:pPr>
              <w:spacing w:after="0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5 000-нан жоғары</w:t>
            </w:r>
          </w:p>
        </w:tc>
        <w:tc>
          <w:tcPr>
            <w:tcW w:w="125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A47225" w:rsidRPr="00A47225" w:rsidRDefault="00A47225" w:rsidP="00A47225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</w:pPr>
            <w:r w:rsidRPr="00A47225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200</w:t>
            </w:r>
          </w:p>
        </w:tc>
      </w:tr>
    </w:tbl>
    <w:p w:rsidR="00A47225" w:rsidRPr="00A47225" w:rsidRDefault="00A47225" w:rsidP="00A47225">
      <w:pPr>
        <w:spacing w:after="36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     Салықты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үшін республикалық бюджет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туралы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заңда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тиісті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қаржы жылының 1 қаңтарында қолданыста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өрсеткіш қолданылады.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>      1-1. Осы Кодекст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ң мақсаттары үшiн: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1) жеңiл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автомобильдерге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>      В санатындағы (ВЕ, В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1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қоса алғандағы)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жүкке арналған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платформасы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жүк бөлiгiнен қатты стационарлық қабырғамен бөлiнген жүргiзушi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кабинасы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бар жеңiл автомобиль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шассиiндегi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моторлы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көлiк құралдары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автомобиль-пикаптар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);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рұқсат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етiлген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ең жоғары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массасы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жолаушылар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орындарының саны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санатына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(ВЕ қоса алғанда) қойылатын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талаптардан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асып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түсетін, сыйымдылығы ұлғайтылған және жүрiп өту мүмкiндiгi жоғары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жолсызбен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жүретiн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оның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iшiнде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джиптер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сондай-ақ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кроссоверлер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лимузиндер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жатады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2)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тармақтың 1) тармақшасында өзгеше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белгiленбесе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жүк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автомобильдерiне</w:t>
      </w:r>
      <w:proofErr w:type="spellEnd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санатындағы (СЕ, С1Е, С1 қоса алғандағы)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жатады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3)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тармақтың 1) және 2) тармақшаларында өзгеше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белгiленбесе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арнайы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автомобильдерге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белгiлi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бiр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технологиялық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процестердi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операцияларды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орындауға арналған,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арнайы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жабдығы бар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жатады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4)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тармақтың 1) тармақшасында өзгеше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белгiленбесе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, автобустарға D санатындағы (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D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Е, D1Е, D1 қоса алғандағы)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жатады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2. Жеңіл автомобильдердің үш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двигателінің көлемі 1500-ден жоғары 2000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сантиметрді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қоса алғандағы,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алты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2000-нан жоғары 2500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сантиметрді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қоса алғандағы, тоғыз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2500-ден жоғары 3000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сантиметрді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қоса алғандағы, он бес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3000-нан жоғары 4000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сантиметрді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қоса алғандағы, жүз он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жеті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 xml:space="preserve">көрсеткіш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4000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сантиметрден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жоғары көлемде болған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двигатель көлемінің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тиі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ст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төменгі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шегінен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асып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түскен әрбір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бірлік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үшін 7 теңгеге ұлғайтылады.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2-1. Қазақстан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Республикасында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2013 жылғы 31 желтоқсаннан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шығарылған (жасалған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құрастырылған)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Қазақстан Республикасының аумағына 2013 жылғы 31 желтоқсаннан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әкелінген жеңіл автомобильдердің қозғалтқыш көлемі үш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1 500-ден жоғары 2 000-ды қоса алғанда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алты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2 000-нан жоғары 2 500-ді қоса алғанда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сантиметр, тоғыз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2 500-ден жоғары 3 000-ды қоса алғанда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отыз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бес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3 000-нан жоғары 3 200-ді қоса алғанда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сантиметр, қырық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алты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3200-ден жоғары 3 500-ді қоса алғанда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алпыс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алты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3 500-ден жоғары 4 000-ды қоса алғанда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сантиметр, жүз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отыз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4 000-нан жоғары 5 000-ды қоса алғанда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екі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жүз айлық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өрсеткіш мөлшерлемесі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5 000-нан жоғары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текше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сантиметр болған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қозғалтқыш көлемінің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тиісті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төменгі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шегінен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асқан әрбір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бірлікке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7 теңгеге ұлғайтылады.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>      2-2. Осы баптың мақсатында Қазақстан Республикасының аумағына әкелінген жеңі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л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әкелу күні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оларды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бастапқы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мемлекеттік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3.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Пайдаланылу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мерзіміне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қарай ұшу аппараттарының салық мөлшерлемелеріне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мынадай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түзету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коэффициенттері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қолданылады: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1) 1999 жылғы 1 сәуірден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Қазақстан Республикасының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шегінен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тыс</w:t>
      </w:r>
      <w:proofErr w:type="spellEnd"/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жерлерден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алынған ұшу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аппараттарына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пайдаланылу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мерзімі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5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жоғары 15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қоса алғанда - 2,0;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пайдаланылу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15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жоғары - 3,0;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2) 1999 жылғы 1 сәуірге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алынған, сондай-ақ 1999 жылғы 1 сәуірден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алынған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Қазақстан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Республикасында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1999 жылғы 1 сәуірге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пайдалануда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болған ұшу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аппараттарына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пайдаланылу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мерзімі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5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жоғары 15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қоса алғанда - 0,5;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пайдаланылу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15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жоғары - 0,3.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4. Көлік құралының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пайдаланылу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мерзімі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құралдарының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паспортында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(әуе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кемесін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ұшуда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жөніндегі нұсқауда)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өрсетілген шығарылған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жылы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негізге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алына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отырып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5. Жүк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арнайы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автомобильдер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салықты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үшін көлік құралын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жөніндегі нұсқаулықта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нұсқауда көрсетілген көлік құралының жүк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өтергіштігінің көрсеткіші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.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пайдалану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жөніндегі нұсқаулықта (нұсқауда) жүк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өтергіштігінің көрсеткіші көрсетілмесе,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құралының рұқсат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етілген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ең жоғарғы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массасы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мен көлік құралының жүктемесіз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массасы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(жабдықталған көлік құралының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массасы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арасындағы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айырма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ретінде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A47225" w:rsidRPr="00A47225" w:rsidRDefault="00A47225" w:rsidP="00A47225">
      <w:pPr>
        <w:spacing w:after="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lastRenderedPageBreak/>
        <w:t xml:space="preserve">Салықты </w:t>
      </w:r>
      <w:proofErr w:type="spellStart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есептеу</w:t>
      </w:r>
      <w:proofErr w:type="spellEnd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тәрт</w:t>
      </w:r>
      <w:proofErr w:type="gramStart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i</w:t>
      </w:r>
      <w:proofErr w:type="gramEnd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бi</w:t>
      </w:r>
    </w:p>
    <w:p w:rsidR="00A47225" w:rsidRPr="00A47225" w:rsidRDefault="00A47225" w:rsidP="00A47225">
      <w:pPr>
        <w:spacing w:after="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     1. Салық төлеушi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объектiлерiн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әрбiр көлiк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мөлшерлемесін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негiзге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ала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отырып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салық кезеңi үшiн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дербес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есептейдi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. </w:t>
      </w:r>
      <w:proofErr w:type="spellStart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осы Кодекстің 369-бабының 3-тармағында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мерзімде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салықты төлемеген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толық төлемеген жағдайда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органдары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құралдарын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алуды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тіркеуді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жүзеге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асыратын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уәкілетті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органдар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беретін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мәліметтер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негізінде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салықты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есептеуді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жүргізеді.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Ауыл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шаруашылығы өн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імдерін, акваө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сіру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(балық өсіру шаруашылығы) өнімін өндіруші заңды тұлғалар және селолық тұтыну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кооперативтері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үшін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арнаулы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режимін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қолданатын салық төлеушілер салықты осы Кодекстің </w:t>
      </w:r>
      <w:hyperlink r:id="rId6" w:anchor="z3785" w:history="1">
        <w:r w:rsidRPr="00A47225">
          <w:rPr>
            <w:rFonts w:ascii="Arial" w:eastAsia="Times New Roman" w:hAnsi="Arial" w:cs="Arial"/>
            <w:color w:val="9A1616"/>
            <w:spacing w:val="1"/>
            <w:sz w:val="24"/>
            <w:szCs w:val="24"/>
            <w:u w:val="single"/>
          </w:rPr>
          <w:t>451-бабында</w:t>
        </w:r>
      </w:hyperlink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белгіленген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ерекшеліктерді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ескере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отырып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есептейді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>      Осы баптың 3-тармағында көзделген жағдайды қоспағанда, кө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лік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құқығында, шаруашылық жүргiзу құқығында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жедел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құқығында салық кезеңiнен аз уақыт болған жағдайда,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көлiк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құқығында, шаруашылық жүргiзу құқығында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жедел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іс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жүзінде болған кезең үшiн салықтың жылдық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ек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іге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бөлу және көл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құқығында, шаруашылық жүргiзу құқығында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жедел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iс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жүзiнде болған айлардың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санына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көбейту арқылы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2.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Салық кезеңі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ішінде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объектілеріне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шаруашылық жүргізу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құқықтарын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мынадай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тәртіппен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1)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беруші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тарап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үшiн: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салық кезеңiнiң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қолда бар көлiк құралдары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кезеңiнiң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көлiк құралына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құқығын, шаруашылық жүргiзу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рiншi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күнiне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дейiнгi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 үшiн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салық кезеңiнiң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iшiнде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алынған көлiк құралдары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көлiк құралына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құқығын, шаруашылық жүргiзу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 алған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бiрiншi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күнiнен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көлiк құралына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құқығын, шаруашылық жүргiзу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бiрiншi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күнiне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дейiнгi</w:t>
      </w:r>
      <w:proofErr w:type="spellEnd"/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 үш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;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2)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алушы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тарап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үшiн -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көлiк құралына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құқығын, шаруашылық жүргiзу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жедел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 алған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бiрiншi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күнiнен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салық кезеңiнiң соңына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дейiн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алушы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тарап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одан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кейiн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аталған көлiк құралына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құқығын, шаруашылық жүргiзу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жедел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рiншi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күнiне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дейiнгi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кезеңге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есептеледi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3. Дара кәсіпкерлер,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жекеше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нотариустар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сот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орындаушылары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адвокаттар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табылмайтын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арасында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салу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объектілеріне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егер</w:t>
      </w:r>
      <w:proofErr w:type="spellEnd"/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ағымдағы салық кезеңі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ішінде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беруші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тарап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салықтың жылдық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төлеген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болса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салықтың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осындай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төлемі тараптардың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келісімі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алу-сату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айырбастау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шарттарының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талаптарына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негізделі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proofErr w:type="spellEnd"/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тараптың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берілетін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салынатын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объект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ағымдағы салық кезеңінің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міндеттемесін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орындауы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4.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алу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Қазақстан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Республикасында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 xml:space="preserve">тұрмаған көлiк құралын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сатып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көлiк құралына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 туындаған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күнiнен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кезеңiнiң соңына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дейiнгi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 тоқтатылған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бірінші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күніне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 үш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i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есептейді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5. </w:t>
      </w:r>
      <w:proofErr w:type="spellStart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Иелерінен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айдап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әкетілген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ұрланған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саналған көлік құралдарын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саласындағы уәкілетті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мемлекеттік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органда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шығару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іздеу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салу кезеңінде салық төлеуден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босату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үшін осы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негіз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шы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ғарылғанын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растайтын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жат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негіз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 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Салық </w:t>
      </w:r>
      <w:proofErr w:type="spellStart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індеттемесін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орындау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іздеу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салынған көлік құралының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иесіне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қайтарылған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кезден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, осы Кодекстің </w:t>
      </w:r>
      <w:hyperlink r:id="rId7" w:anchor="z3266" w:history="1">
        <w:r w:rsidRPr="00A47225">
          <w:rPr>
            <w:rFonts w:ascii="Arial" w:eastAsia="Times New Roman" w:hAnsi="Arial" w:cs="Arial"/>
            <w:color w:val="9A1616"/>
            <w:spacing w:val="1"/>
            <w:sz w:val="24"/>
            <w:szCs w:val="24"/>
            <w:u w:val="single"/>
          </w:rPr>
          <w:t>51-тарауында</w:t>
        </w:r>
      </w:hyperlink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көзделген тәртіппен жүзеге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асырылады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  6.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Заңды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салық кезеңінің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құқығында, шаруашылық жүргізу құқығында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құқығында болған көлік құралдары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сондай-ақ салық кезеңінің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кезеңінің 1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шілдесіне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кезеңде мұндай құқықтар туындаған және (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) тоқтатылған көлік құралдары </w:t>
      </w:r>
      <w:proofErr w:type="spellStart"/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ағымдағы төлемдерді: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1)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салық кезеңінің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кезеңінің 1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шілдесіне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кезеңде туындаған және салық кезеңінің 1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шілдесіне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тоқтатылмаған жағдайда –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туындаған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күнінен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кезеңінің соңына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 үшін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мөлшерінде;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2) салық кезеңінің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кезеңінің 1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шілдесіне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кезеңде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құқығы: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тоқтатылған жағдайда – салық кезеңінің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тоқтатылған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күніне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 үшін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мөлшерінде;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туындаған және тоқтатылған жағдайда –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туындаған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күнінен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мұндай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тоқтатылған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күніне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 үшін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мөлшерінде;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3) қалған жағдайларда – жылдық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мөлшерінде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есептейді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. Бұл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ретте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салық кезеңінің 1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шілдесінен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кезеңінің соңына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кезеңде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тоқтатылған жағдайда,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декларацияда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ңінің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басынан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көлік құралдарына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тоқтатылған айдың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інші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күніне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 үшін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көрсетіледі.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Заңды тұлғалар салық кезеңінің 1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шілдесінен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бастап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кезеңінің соңына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дейінгі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кезеңде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құқығы, шаруашылық жүргізу құқығы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оралымды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басқару құқығы туындаған көлік құралдары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ағымдағы төлемдерді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есептемейді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ағымдағы төлемдердің есе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п-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қисабын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табыс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етпейді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. Бұл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ретте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декларацияда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баптың 2-тармағының 2) тармақшасында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тәртіппен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сомасы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көрсетіледі.</w:t>
      </w:r>
    </w:p>
    <w:p w:rsidR="00A47225" w:rsidRPr="00A47225" w:rsidRDefault="00A47225" w:rsidP="00A47225">
      <w:pPr>
        <w:spacing w:after="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Салық төлеу </w:t>
      </w:r>
      <w:proofErr w:type="spellStart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мерз</w:t>
      </w:r>
      <w:proofErr w:type="gramStart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i</w:t>
      </w:r>
      <w:proofErr w:type="gramEnd"/>
      <w:r w:rsidRPr="00A47225">
        <w:rPr>
          <w:rFonts w:ascii="Arial" w:eastAsia="Times New Roman" w:hAnsi="Arial" w:cs="Arial"/>
          <w:bCs/>
          <w:color w:val="000000"/>
          <w:spacing w:val="1"/>
          <w:sz w:val="24"/>
          <w:szCs w:val="24"/>
          <w:bdr w:val="none" w:sz="0" w:space="0" w:color="auto" w:frame="1"/>
        </w:rPr>
        <w:t>мдерi</w:t>
      </w:r>
      <w:proofErr w:type="spellEnd"/>
    </w:p>
    <w:p w:rsidR="00A47225" w:rsidRPr="00A47225" w:rsidRDefault="00A47225" w:rsidP="00A47225">
      <w:pPr>
        <w:spacing w:after="360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     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үшін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бюджетке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төлеу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мерзімі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салық кезеңінің 31 желтоқсанынан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кешікті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ілмейтін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күн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Салықты төлеу салық салу объектісінің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орны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бойынша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жүргізіледі.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     Көлік құралдарын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тіркеуден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қайта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тіркеуден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мемлекеттік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немесе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міндетті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техникалық байқаудан өткізген жағдайда,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тұлғалар көрсетілген әрекеттерді жасағанға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дейін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осы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Кодексте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белгіленген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тәртіппен салықты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есептейді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және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бюджетке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төлеуді жүргізеді.</w:t>
      </w:r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  <w:t xml:space="preserve">      5. Көлiк құралының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иесi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атынан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иеліктен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шығару құқығымен көлік құралын басқаруға арналған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сенімхат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негізінде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сенім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білді</w:t>
      </w:r>
      <w:proofErr w:type="gram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р</w:t>
      </w:r>
      <w:proofErr w:type="gram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ілген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табылатын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жеке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тұлғаның салық кезеңі үшін көлiк құралдарына салық төлеуi көлiк құралы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меншiк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иесiнiң осы салық кезеңi үшiн салық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мiндеттемесiн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орындауы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болып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табылады</w:t>
      </w:r>
      <w:proofErr w:type="spellEnd"/>
      <w:r w:rsidRPr="00A47225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3D044A" w:rsidRPr="00A47225" w:rsidRDefault="003D044A" w:rsidP="00A47225">
      <w:pPr>
        <w:rPr>
          <w:rFonts w:ascii="Arial" w:hAnsi="Arial" w:cs="Arial"/>
          <w:sz w:val="24"/>
          <w:szCs w:val="24"/>
        </w:rPr>
      </w:pPr>
    </w:p>
    <w:sectPr w:rsidR="003D044A" w:rsidRPr="00A4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7225"/>
    <w:rsid w:val="003D044A"/>
    <w:rsid w:val="00A4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61.43.123/kaz/docs/K080000099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kaz/docs/K080000099_" TargetMode="External"/><Relationship Id="rId5" Type="http://schemas.openxmlformats.org/officeDocument/2006/relationships/hyperlink" Target="http://10.61.43.123/kaz/docs/K080000099_" TargetMode="External"/><Relationship Id="rId4" Type="http://schemas.openxmlformats.org/officeDocument/2006/relationships/hyperlink" Target="http://10.61.43.123/kaz/docs/K080000099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2797</Words>
  <Characters>15947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2016-07-12T12:15:00Z</dcterms:created>
  <dcterms:modified xsi:type="dcterms:W3CDTF">2016-07-12T12:15:00Z</dcterms:modified>
</cp:coreProperties>
</file>