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4E3B60" w:rsidRDefault="001D49B5" w:rsidP="000C6959">
      <w:pPr>
        <w:pStyle w:val="a4"/>
        <w:ind w:firstLine="284"/>
        <w:jc w:val="both"/>
        <w:rPr>
          <w:i w:val="0"/>
          <w:sz w:val="24"/>
          <w:szCs w:val="24"/>
          <w:lang w:val="kk-KZ"/>
        </w:rPr>
      </w:pPr>
      <w:r>
        <w:rPr>
          <w:i w:val="0"/>
          <w:sz w:val="24"/>
          <w:szCs w:val="24"/>
          <w:lang w:val="kk-KZ"/>
        </w:rPr>
        <w:t xml:space="preserve">    </w:t>
      </w:r>
    </w:p>
    <w:p w:rsidR="004E3B60" w:rsidRDefault="004E3B60" w:rsidP="004E3B60">
      <w:pPr>
        <w:ind w:firstLine="708"/>
        <w:jc w:val="both"/>
        <w:rPr>
          <w:i w:val="0"/>
          <w:color w:val="000000"/>
          <w:sz w:val="24"/>
          <w:szCs w:val="24"/>
          <w:lang w:val="kk-KZ"/>
        </w:rPr>
      </w:pPr>
      <w:r>
        <w:rPr>
          <w:i w:val="0"/>
          <w:color w:val="000000"/>
          <w:sz w:val="24"/>
          <w:szCs w:val="24"/>
          <w:lang w:val="kk-KZ"/>
        </w:rPr>
        <w:t>C-R-3 санаты үшін:</w:t>
      </w:r>
    </w:p>
    <w:p w:rsidR="003D34F3" w:rsidRDefault="003D34F3" w:rsidP="003D34F3">
      <w:pPr>
        <w:ind w:firstLine="708"/>
        <w:jc w:val="both"/>
        <w:rPr>
          <w:b w:val="0"/>
          <w:i w:val="0"/>
          <w:sz w:val="24"/>
          <w:szCs w:val="24"/>
          <w:lang w:val="kk-KZ"/>
        </w:rPr>
      </w:pPr>
      <w:bookmarkStart w:id="1" w:name="_GoBack"/>
      <w:bookmarkEnd w:id="1"/>
      <w:r>
        <w:rPr>
          <w:b w:val="0"/>
          <w:i w:val="0"/>
          <w:color w:val="000000"/>
          <w:sz w:val="24"/>
          <w:szCs w:val="24"/>
          <w:lang w:val="kk-KZ"/>
        </w:rPr>
        <w:t>жоғары немесе жоғары оқу орнынан кейінгі білім;</w:t>
      </w:r>
    </w:p>
    <w:p w:rsidR="003D34F3" w:rsidRDefault="003D34F3" w:rsidP="003D34F3">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D34F3" w:rsidRDefault="003D34F3" w:rsidP="003D34F3">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жұмыс тәжірибесі келесі талаптардың біріне сәйкес болуы тиіс:</w:t>
      </w:r>
    </w:p>
    <w:p w:rsidR="003D34F3" w:rsidRDefault="003D34F3" w:rsidP="003D34F3">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1) мемлекеттік қызмет өтілі бір жылдан кем емес;</w:t>
      </w:r>
    </w:p>
    <w:p w:rsidR="003D34F3" w:rsidRDefault="003D34F3" w:rsidP="003D34F3">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2) осы санаттағы нақты лауазымның функционалдық бағыттарына сәйкес салаларда екі жылдан кем емес;</w:t>
      </w:r>
    </w:p>
    <w:p w:rsidR="003D34F3" w:rsidRDefault="003D34F3" w:rsidP="003D34F3">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D34F3" w:rsidRDefault="003D34F3" w:rsidP="003D34F3">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D34F3" w:rsidRDefault="003D34F3" w:rsidP="003D34F3">
      <w:pPr>
        <w:jc w:val="both"/>
        <w:rPr>
          <w:b w:val="0"/>
          <w:i w:val="0"/>
          <w:sz w:val="24"/>
          <w:szCs w:val="24"/>
          <w:lang w:val="kk-KZ"/>
        </w:rPr>
      </w:pPr>
      <w:r>
        <w:rPr>
          <w:b w:val="0"/>
          <w:i w:val="0"/>
          <w:color w:val="000000"/>
          <w:sz w:val="24"/>
          <w:szCs w:val="24"/>
          <w:lang w:val="kk-KZ"/>
        </w:rPr>
        <w:t xml:space="preserve">      </w:t>
      </w:r>
      <w:r>
        <w:rPr>
          <w:b w:val="0"/>
          <w:i w:val="0"/>
          <w:color w:val="000000"/>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D34F3" w:rsidRDefault="003D34F3" w:rsidP="003D34F3">
      <w:pPr>
        <w:jc w:val="both"/>
        <w:rPr>
          <w:b w:val="0"/>
          <w:i w:val="0"/>
          <w:sz w:val="24"/>
          <w:szCs w:val="24"/>
        </w:rPr>
      </w:pPr>
      <w:r>
        <w:rPr>
          <w:b w:val="0"/>
          <w:i w:val="0"/>
          <w:color w:val="000000"/>
          <w:sz w:val="24"/>
          <w:szCs w:val="24"/>
          <w:lang w:val="kk-KZ"/>
        </w:rPr>
        <w:t xml:space="preserve">      </w:t>
      </w:r>
      <w:r>
        <w:rPr>
          <w:b w:val="0"/>
          <w:i w:val="0"/>
          <w:color w:val="000000"/>
          <w:sz w:val="24"/>
          <w:szCs w:val="24"/>
          <w:lang w:val="kk-KZ"/>
        </w:rPr>
        <w:tab/>
      </w:r>
      <w:r>
        <w:rPr>
          <w:b w:val="0"/>
          <w:i w:val="0"/>
          <w:color w:val="000000"/>
          <w:sz w:val="24"/>
          <w:szCs w:val="24"/>
        </w:rPr>
        <w:t xml:space="preserve">6) </w:t>
      </w:r>
      <w:proofErr w:type="spellStart"/>
      <w:r>
        <w:rPr>
          <w:b w:val="0"/>
          <w:i w:val="0"/>
          <w:color w:val="000000"/>
          <w:sz w:val="24"/>
          <w:szCs w:val="24"/>
        </w:rPr>
        <w:t>ғылыми</w:t>
      </w:r>
      <w:proofErr w:type="spellEnd"/>
      <w:r>
        <w:rPr>
          <w:b w:val="0"/>
          <w:i w:val="0"/>
          <w:color w:val="000000"/>
          <w:sz w:val="24"/>
          <w:szCs w:val="24"/>
        </w:rPr>
        <w:t xml:space="preserve"> </w:t>
      </w:r>
      <w:proofErr w:type="spellStart"/>
      <w:r>
        <w:rPr>
          <w:b w:val="0"/>
          <w:i w:val="0"/>
          <w:color w:val="000000"/>
          <w:sz w:val="24"/>
          <w:szCs w:val="24"/>
        </w:rPr>
        <w:t>дәрежесінің</w:t>
      </w:r>
      <w:proofErr w:type="spellEnd"/>
      <w:r>
        <w:rPr>
          <w:b w:val="0"/>
          <w:i w:val="0"/>
          <w:color w:val="000000"/>
          <w:sz w:val="24"/>
          <w:szCs w:val="24"/>
        </w:rPr>
        <w:t xml:space="preserve"> </w:t>
      </w:r>
      <w:proofErr w:type="spellStart"/>
      <w:r>
        <w:rPr>
          <w:b w:val="0"/>
          <w:i w:val="0"/>
          <w:color w:val="000000"/>
          <w:sz w:val="24"/>
          <w:szCs w:val="24"/>
        </w:rPr>
        <w:t>болуы</w:t>
      </w:r>
      <w:proofErr w:type="spellEnd"/>
      <w:r>
        <w:rPr>
          <w:b w:val="0"/>
          <w:i w:val="0"/>
          <w:color w:val="000000"/>
          <w:sz w:val="24"/>
          <w:szCs w:val="24"/>
        </w:rPr>
        <w:t>.</w:t>
      </w:r>
    </w:p>
    <w:p w:rsidR="003D34F3" w:rsidRDefault="003D34F3" w:rsidP="004E3B60">
      <w:pPr>
        <w:ind w:firstLine="708"/>
        <w:jc w:val="both"/>
        <w:rPr>
          <w:b w:val="0"/>
          <w:i w:val="0"/>
          <w:color w:val="00000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4E3B60" w:rsidTr="004E3B60">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4E3B60" w:rsidRDefault="004E3B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4E3B60" w:rsidRDefault="004E3B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4E3B60" w:rsidTr="004E3B60">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4E3B60" w:rsidRDefault="004E3B60">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4E3B60" w:rsidTr="004E3B60">
        <w:trPr>
          <w:cantSplit/>
          <w:trHeight w:val="20"/>
        </w:trPr>
        <w:tc>
          <w:tcPr>
            <w:tcW w:w="1721" w:type="dxa"/>
            <w:tcBorders>
              <w:top w:val="single" w:sz="4" w:space="0" w:color="auto"/>
              <w:left w:val="single" w:sz="4" w:space="0" w:color="auto"/>
              <w:bottom w:val="single" w:sz="4" w:space="0" w:color="auto"/>
              <w:right w:val="single" w:sz="4" w:space="0" w:color="auto"/>
            </w:tcBorders>
            <w:hideMark/>
          </w:tcPr>
          <w:p w:rsidR="004E3B60" w:rsidRDefault="004E3B60">
            <w:pPr>
              <w:spacing w:line="276" w:lineRule="auto"/>
              <w:rPr>
                <w:i w:val="0"/>
                <w:color w:val="000000"/>
                <w:spacing w:val="-5"/>
                <w:sz w:val="24"/>
                <w:szCs w:val="24"/>
                <w:lang w:val="kk-KZ" w:eastAsia="en-US"/>
              </w:rPr>
            </w:pPr>
            <w:r>
              <w:rPr>
                <w:i w:val="0"/>
                <w:color w:val="000000"/>
                <w:spacing w:val="-5"/>
                <w:sz w:val="24"/>
                <w:szCs w:val="24"/>
                <w:lang w:eastAsia="en-US"/>
              </w:rPr>
              <w:t>С-R-</w:t>
            </w:r>
            <w:r>
              <w:rPr>
                <w:i w:val="0"/>
                <w:color w:val="000000"/>
                <w:spacing w:val="-5"/>
                <w:sz w:val="24"/>
                <w:szCs w:val="24"/>
                <w:lang w:val="kk-KZ" w:eastAsia="en-US"/>
              </w:rPr>
              <w:t>3</w:t>
            </w:r>
          </w:p>
        </w:tc>
        <w:tc>
          <w:tcPr>
            <w:tcW w:w="4245" w:type="dxa"/>
            <w:tcBorders>
              <w:top w:val="single" w:sz="4" w:space="0" w:color="auto"/>
              <w:left w:val="single" w:sz="4" w:space="0" w:color="auto"/>
              <w:bottom w:val="single" w:sz="4" w:space="0" w:color="auto"/>
              <w:right w:val="single" w:sz="4" w:space="0" w:color="auto"/>
            </w:tcBorders>
            <w:hideMark/>
          </w:tcPr>
          <w:p w:rsidR="004E3B60" w:rsidRDefault="004E3B60">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96 607</w:t>
            </w:r>
          </w:p>
        </w:tc>
        <w:tc>
          <w:tcPr>
            <w:tcW w:w="4129" w:type="dxa"/>
            <w:tcBorders>
              <w:top w:val="single" w:sz="4" w:space="0" w:color="auto"/>
              <w:left w:val="single" w:sz="4" w:space="0" w:color="auto"/>
              <w:bottom w:val="single" w:sz="4" w:space="0" w:color="auto"/>
              <w:right w:val="single" w:sz="4" w:space="0" w:color="auto"/>
            </w:tcBorders>
            <w:hideMark/>
          </w:tcPr>
          <w:p w:rsidR="004E3B60" w:rsidRDefault="004E3B60">
            <w:pPr>
              <w:spacing w:line="276" w:lineRule="auto"/>
              <w:rPr>
                <w:i w:val="0"/>
                <w:color w:val="000000"/>
                <w:spacing w:val="-5"/>
                <w:sz w:val="24"/>
                <w:szCs w:val="24"/>
                <w:lang w:eastAsia="en-US"/>
              </w:rPr>
            </w:pPr>
            <w:r>
              <w:rPr>
                <w:i w:val="0"/>
                <w:color w:val="000000"/>
                <w:spacing w:val="-5"/>
                <w:sz w:val="24"/>
                <w:szCs w:val="24"/>
                <w:lang w:eastAsia="en-US"/>
              </w:rPr>
              <w:t>129 919</w:t>
            </w:r>
          </w:p>
        </w:tc>
      </w:tr>
    </w:tbl>
    <w:p w:rsidR="004E3B60" w:rsidRDefault="004E3B60" w:rsidP="004E3B60">
      <w:pPr>
        <w:pStyle w:val="a4"/>
        <w:jc w:val="both"/>
        <w:rPr>
          <w:b w:val="0"/>
          <w:i w:val="0"/>
          <w:sz w:val="24"/>
          <w:szCs w:val="24"/>
          <w:lang w:val="kk-KZ"/>
        </w:rPr>
      </w:pPr>
    </w:p>
    <w:p w:rsidR="004E3B60" w:rsidRDefault="004E3B60" w:rsidP="004E3B60">
      <w:pPr>
        <w:widowControl/>
        <w:autoSpaceDE w:val="0"/>
        <w:autoSpaceDN w:val="0"/>
        <w:adjustRightInd w:val="0"/>
        <w:ind w:firstLine="708"/>
        <w:jc w:val="both"/>
        <w:rPr>
          <w:rFonts w:eastAsiaTheme="minorEastAsia"/>
          <w:bCs w:val="0"/>
          <w:i w:val="0"/>
          <w:iCs w:val="0"/>
          <w:sz w:val="24"/>
          <w:szCs w:val="24"/>
          <w:lang w:val="kk-KZ"/>
        </w:rPr>
      </w:pPr>
      <w:r>
        <w:rPr>
          <w:rFonts w:eastAsiaTheme="minorEastAsia"/>
          <w:bCs w:val="0"/>
          <w:i w:val="0"/>
          <w:iCs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hyperlink r:id="rId6" w:history="1">
        <w:r w:rsidRPr="00D157DE">
          <w:rPr>
            <w:rStyle w:val="a8"/>
            <w:rFonts w:ascii="Times New Roman" w:eastAsiaTheme="minorEastAsia" w:hAnsi="Times New Roman" w:cs="Times New Roman"/>
            <w:bCs w:val="0"/>
            <w:i w:val="0"/>
            <w:iCs w:val="0"/>
            <w:sz w:val="24"/>
            <w:szCs w:val="24"/>
            <w:lang w:val="kk-KZ"/>
          </w:rPr>
          <w:t>labdugapbarova@taxtaraz.mgd.kz</w:t>
        </w:r>
      </w:hyperlink>
      <w:r>
        <w:rPr>
          <w:rFonts w:eastAsiaTheme="minorEastAsia"/>
          <w:bCs w:val="0"/>
          <w:i w:val="0"/>
          <w:iCs w:val="0"/>
          <w:sz w:val="24"/>
          <w:szCs w:val="24"/>
          <w:lang w:val="kk-KZ"/>
        </w:rPr>
        <w:t xml:space="preserve"> бос әкімшілік мемлекеттік лауазымға орналасуға ішкі конкурс жариялайды: </w:t>
      </w:r>
    </w:p>
    <w:p w:rsidR="004E3B60" w:rsidRDefault="004E3B60" w:rsidP="004E3B60">
      <w:pPr>
        <w:widowControl/>
        <w:suppressAutoHyphens/>
        <w:ind w:firstLine="708"/>
        <w:jc w:val="both"/>
        <w:rPr>
          <w:i w:val="0"/>
          <w:color w:val="C0504D" w:themeColor="accent2"/>
          <w:sz w:val="24"/>
          <w:szCs w:val="24"/>
          <w:lang w:val="kk-KZ" w:eastAsia="ar-SA"/>
        </w:rPr>
      </w:pPr>
      <w:r>
        <w:rPr>
          <w:bCs w:val="0"/>
          <w:i w:val="0"/>
          <w:iCs w:val="0"/>
          <w:sz w:val="24"/>
          <w:szCs w:val="24"/>
          <w:lang w:val="kk-KZ" w:eastAsia="ar-SA"/>
        </w:rPr>
        <w:t xml:space="preserve">1. </w:t>
      </w:r>
      <w:r>
        <w:rPr>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Pr>
          <w:bCs w:val="0"/>
          <w:i w:val="0"/>
          <w:iCs w:val="0"/>
          <w:sz w:val="24"/>
          <w:szCs w:val="24"/>
          <w:lang w:val="kk-KZ" w:eastAsia="ar-SA"/>
        </w:rPr>
        <w:t xml:space="preserve">Құқықтық қамтамасыз ету бөлімінің басшысы, </w:t>
      </w:r>
      <w:r>
        <w:rPr>
          <w:i w:val="0"/>
          <w:sz w:val="24"/>
          <w:szCs w:val="24"/>
          <w:lang w:val="kk-KZ" w:eastAsia="ar-SA"/>
        </w:rPr>
        <w:t>1 бірлік, санаты C-R-3, №03-1-1.</w:t>
      </w:r>
    </w:p>
    <w:p w:rsidR="004E3B60" w:rsidRDefault="004E3B60" w:rsidP="004E3B60">
      <w:pPr>
        <w:widowControl/>
        <w:autoSpaceDE w:val="0"/>
        <w:autoSpaceDN w:val="0"/>
        <w:adjustRightInd w:val="0"/>
        <w:ind w:hanging="7"/>
        <w:jc w:val="both"/>
        <w:rPr>
          <w:rFonts w:eastAsiaTheme="minorEastAsia"/>
          <w:b w:val="0"/>
          <w:bCs w:val="0"/>
          <w:i w:val="0"/>
          <w:iCs w:val="0"/>
          <w:sz w:val="24"/>
          <w:szCs w:val="24"/>
          <w:lang w:val="kk-KZ"/>
        </w:rPr>
      </w:pPr>
      <w:r>
        <w:rPr>
          <w:rFonts w:eastAsiaTheme="minorEastAsia"/>
          <w:bCs w:val="0"/>
          <w:i w:val="0"/>
          <w:iCs w:val="0"/>
          <w:sz w:val="24"/>
          <w:szCs w:val="24"/>
          <w:lang w:val="kk-KZ"/>
        </w:rPr>
        <w:t>Функционалды міндеттері:</w:t>
      </w:r>
      <w:r>
        <w:rPr>
          <w:rFonts w:eastAsiaTheme="minorEastAsia"/>
          <w:b w:val="0"/>
          <w:bCs w:val="0"/>
          <w:i w:val="0"/>
          <w:iCs w:val="0"/>
          <w:sz w:val="24"/>
          <w:szCs w:val="24"/>
          <w:lang w:val="kk-KZ"/>
        </w:rPr>
        <w:t xml:space="preserve"> Бөлімнің ережесіне сәйкес бөлімнің жұмысын ұйымдастыру және жұмыс барысын, жалпы басшылықты жүзеге асырады; Бөлімнің жұмыс жоспарын жасайды және мемлекеттік кірістер басқармасының басшысына қарау үшін ұсынады, оның орындалуын бақылайды; Жоғары тұрған ұйымның және бұйрықтардың орындалуын, Тараз қаласы бойынша мемлекеттік кірістер басқармасының басшысының бұйрықтары мен тапсырмаларының </w:t>
      </w:r>
      <w:r>
        <w:rPr>
          <w:rFonts w:eastAsiaTheme="minorEastAsia"/>
          <w:b w:val="0"/>
          <w:bCs w:val="0"/>
          <w:i w:val="0"/>
          <w:iCs w:val="0"/>
          <w:sz w:val="24"/>
          <w:szCs w:val="24"/>
          <w:lang w:val="kk-KZ"/>
        </w:rPr>
        <w:lastRenderedPageBreak/>
        <w:t xml:space="preserve">орындалуын қамтамасыз етеді; Бөлім қызметкерлерінің жоғары тұрған органдар мен басшылықтың бұйрықтары мен өкімдерін уақытылы және сапалы орындалуын қамтамасыз етеді; Өзінің құзыреті шегінде азаматтар мен салық төлеушілердің шағымдары мен арыздарын қарайды; Тараз қаласы бойынша мемлекеттік кірістер басқармасының жұмысында заңдылықты сақтауды қамтамасыз етеді; Ішкі нормативтік акті жобаларына құқықтық сараптама жасайды, қажет болған жағдайда оларды әзірлеуге қатысады; Құқықтық мәселелер бойынша қорытындылар әзірлейді және сот органдарында Тараз қаласы бойынша мемлекеттік кірістер басқармасының мүддесін қорғайды; Қызметкерлерге құқықтық мәселелер бойынша кеңес беру және құқықтық көмек беру жұмысын ұйымдастырады; Бөлімнің жұмысын, құрылымдық бөлімшелердің қызметіне қатысты нормативтік-құқықтық актілерді қолдану тәртібінің сақталуын бақылауда ұстайды; Қазақстан Республикасының «Әкімшілік құқық бұзушылық туралы» кодексіне сәйкес Басқарма қызметкерлері мен әкімшілік ісжүргізуді қозғау және оның нормаларын сақталуына бақылау жасайды; Әкімшілік істердің жүргізілуін, ҚР БСАЖ–да әкімшілік құқық бұзушылық туралы хаттаманың өңделуіне бақылау жасайды; Бөлім қызметкерлерінің міндеттерін айқындайды және басшылыққа келісіп, бекіту үшін ұсынады; Қазақстан Республикасының салық заңнамасын біріңғай және дұрыс қолдану мәселелері бойынша жұмысты ұйымдастырады; Қызметкерлердегі құжаттардың орындалуы мен қозғалу барысын бақылайды, олардың уақытылы орындалуына жауапты және басшылықтың тапсырмасын орындайды; Қазақстан Республикасының салық заңнамасын жетілдіру бойынша ұсыныстар келтіреді; Бөлімнің құзыретіне кіретін мәселелер бойынша түсіндіру жұмыстарын жүргізеді; Бөлім қызметкерлерін бұйрықтармен, мемлекеттік кірістер Комитеті басшылығының хаттамалық тапсырмаларымен және өзге де бөлімнің атқаратын қызметіне қатысты құжаттар мен таныстыруға, олардың уақытылы орындалуын қамтамасыз етеді; Бөлім қызметкерлерінің өздерінің функциональдық міндеттерінің орындауына, атқарушылық тәртіптің жай-күйіне бақылау жасайды; Атқарушылық және еңбек тәртібін сақтайды; </w:t>
      </w:r>
    </w:p>
    <w:p w:rsidR="004E3B60" w:rsidRDefault="004E3B60" w:rsidP="004E3B60">
      <w:pPr>
        <w:widowControl/>
        <w:jc w:val="both"/>
        <w:rPr>
          <w:rFonts w:eastAsiaTheme="minorEastAsia"/>
          <w:sz w:val="24"/>
          <w:szCs w:val="24"/>
          <w:lang w:val="kk-KZ"/>
        </w:rPr>
      </w:pPr>
      <w:r>
        <w:rPr>
          <w:rFonts w:eastAsiaTheme="minorEastAsia"/>
          <w:bCs w:val="0"/>
          <w:i w:val="0"/>
          <w:iCs w:val="0"/>
          <w:sz w:val="24"/>
          <w:szCs w:val="24"/>
          <w:lang w:val="kk-KZ"/>
        </w:rPr>
        <w:t xml:space="preserve">Конкурсқа қатысушыларға қойылатын талаптар: </w:t>
      </w:r>
    </w:p>
    <w:p w:rsidR="004E3B60" w:rsidRDefault="004E3B60" w:rsidP="004E3B60">
      <w:pPr>
        <w:widowControl/>
        <w:jc w:val="both"/>
        <w:rPr>
          <w:rFonts w:eastAsiaTheme="minorEastAsia"/>
          <w:b w:val="0"/>
          <w:bCs w:val="0"/>
          <w:i w:val="0"/>
          <w:iCs w:val="0"/>
          <w:color w:val="000000" w:themeColor="text1"/>
          <w:sz w:val="24"/>
          <w:szCs w:val="24"/>
          <w:lang w:val="kk-KZ"/>
        </w:rPr>
      </w:pPr>
      <w:r>
        <w:rPr>
          <w:rFonts w:eastAsiaTheme="minorEastAsia"/>
          <w:bCs w:val="0"/>
          <w:i w:val="0"/>
          <w:iCs w:val="0"/>
          <w:sz w:val="24"/>
          <w:szCs w:val="24"/>
          <w:lang w:val="kk-KZ"/>
        </w:rPr>
        <w:t xml:space="preserve">Білімі: </w:t>
      </w:r>
      <w:r>
        <w:rPr>
          <w:rFonts w:eastAsiaTheme="minorEastAsia"/>
          <w:b w:val="0"/>
          <w:bCs w:val="0"/>
          <w:i w:val="0"/>
          <w:iCs w:val="0"/>
          <w:color w:val="000000" w:themeColor="text1"/>
          <w:sz w:val="24"/>
          <w:szCs w:val="24"/>
          <w:lang w:val="kk-KZ"/>
        </w:rPr>
        <w:t>құқық саласындағы.</w:t>
      </w:r>
    </w:p>
    <w:p w:rsidR="004E3B60" w:rsidRDefault="004E3B60" w:rsidP="004E3B60">
      <w:pPr>
        <w:widowControl/>
        <w:jc w:val="left"/>
        <w:rPr>
          <w:rFonts w:eastAsiaTheme="minorEastAsia"/>
          <w:b w:val="0"/>
          <w:bCs w:val="0"/>
          <w:i w:val="0"/>
          <w:iCs w:val="0"/>
          <w:sz w:val="24"/>
          <w:szCs w:val="24"/>
          <w:lang w:val="kk-KZ"/>
        </w:rPr>
      </w:pPr>
      <w:r>
        <w:rPr>
          <w:rFonts w:eastAsiaTheme="minorEastAsia"/>
          <w:bCs w:val="0"/>
          <w:i w:val="0"/>
          <w:iCs w:val="0"/>
          <w:sz w:val="24"/>
          <w:szCs w:val="24"/>
          <w:lang w:val="kk-KZ"/>
        </w:rPr>
        <w:t>Мамандығы:</w:t>
      </w:r>
      <w:r>
        <w:rPr>
          <w:rFonts w:eastAsiaTheme="minorEastAsia"/>
          <w:b w:val="0"/>
          <w:bCs w:val="0"/>
          <w:i w:val="0"/>
          <w:iCs w:val="0"/>
          <w:sz w:val="24"/>
          <w:szCs w:val="24"/>
          <w:lang w:val="kk-KZ"/>
        </w:rPr>
        <w:t xml:space="preserve"> құқықтану немесе халықаралық құқық.</w:t>
      </w:r>
    </w:p>
    <w:p w:rsidR="004E3B60" w:rsidRDefault="004E3B60" w:rsidP="004E3B60">
      <w:pPr>
        <w:widowControl/>
        <w:jc w:val="both"/>
        <w:rPr>
          <w:rFonts w:eastAsiaTheme="minorEastAsia"/>
          <w:b w:val="0"/>
          <w:bCs w:val="0"/>
          <w:i w:val="0"/>
          <w:iCs w:val="0"/>
          <w:sz w:val="24"/>
          <w:szCs w:val="24"/>
          <w:lang w:val="kk-KZ"/>
        </w:rPr>
      </w:pPr>
      <w:r>
        <w:rPr>
          <w:rFonts w:eastAsiaTheme="minorEastAsia"/>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E3B60" w:rsidRDefault="004E3B60" w:rsidP="004E3B60">
      <w:pPr>
        <w:widowControl/>
        <w:jc w:val="both"/>
        <w:rPr>
          <w:rFonts w:eastAsiaTheme="minorEastAsia"/>
          <w:b w:val="0"/>
          <w:bCs w:val="0"/>
          <w:i w:val="0"/>
          <w:iCs w:val="0"/>
          <w:sz w:val="24"/>
          <w:szCs w:val="24"/>
          <w:lang w:val="kk-KZ"/>
        </w:rPr>
      </w:pPr>
      <w:r>
        <w:rPr>
          <w:rFonts w:eastAsiaTheme="minorEastAsia"/>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4E3B60" w:rsidRDefault="004E3B60" w:rsidP="004E3B60">
      <w:pPr>
        <w:widowControl/>
        <w:jc w:val="both"/>
        <w:rPr>
          <w:rFonts w:eastAsiaTheme="minorEastAsia"/>
          <w:b w:val="0"/>
          <w:bCs w:val="0"/>
          <w:i w:val="0"/>
          <w:iCs w:val="0"/>
          <w:sz w:val="24"/>
          <w:szCs w:val="24"/>
          <w:lang w:val="kk-KZ"/>
        </w:rPr>
      </w:pPr>
      <w:r>
        <w:rPr>
          <w:rFonts w:eastAsiaTheme="minorEastAsia"/>
          <w:b w:val="0"/>
          <w:bCs w:val="0"/>
          <w:i w:val="0"/>
          <w:iCs w:val="0"/>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4E3B60" w:rsidRDefault="004E3B60" w:rsidP="004E3B60">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4E3B60" w:rsidRDefault="004E3B60" w:rsidP="004E3B60">
      <w:pPr>
        <w:widowControl/>
        <w:jc w:val="both"/>
        <w:rPr>
          <w:rFonts w:eastAsiaTheme="minorEastAsia"/>
          <w:b w:val="0"/>
          <w:i w:val="0"/>
          <w:sz w:val="24"/>
          <w:szCs w:val="24"/>
          <w:lang w:val="kk-KZ"/>
        </w:rPr>
      </w:pPr>
      <w:r>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E3B60" w:rsidRDefault="004E3B60" w:rsidP="004E3B60">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E3B60" w:rsidRDefault="004E3B60" w:rsidP="004E3B60">
      <w:pPr>
        <w:widowControl/>
        <w:autoSpaceDE w:val="0"/>
        <w:autoSpaceDN w:val="0"/>
        <w:adjustRightInd w:val="0"/>
        <w:ind w:firstLine="708"/>
        <w:jc w:val="both"/>
        <w:rPr>
          <w:i w:val="0"/>
          <w:sz w:val="24"/>
          <w:szCs w:val="24"/>
          <w:lang w:val="kk-KZ"/>
        </w:rPr>
      </w:pPr>
    </w:p>
    <w:p w:rsidR="004E3B60" w:rsidRDefault="004E3B60" w:rsidP="004E3B60">
      <w:pPr>
        <w:ind w:firstLine="708"/>
        <w:jc w:val="both"/>
        <w:rPr>
          <w:b w:val="0"/>
          <w:i w:val="0"/>
          <w:iCs w:val="0"/>
          <w:color w:val="000000"/>
          <w:sz w:val="24"/>
          <w:szCs w:val="24"/>
          <w:lang w:val="kk-KZ"/>
        </w:rPr>
      </w:pPr>
      <w:r>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4E3B60" w:rsidRDefault="004E3B60" w:rsidP="004E3B60">
      <w:pPr>
        <w:ind w:right="178" w:firstLine="709"/>
        <w:jc w:val="both"/>
        <w:rPr>
          <w:i w:val="0"/>
          <w:sz w:val="24"/>
          <w:szCs w:val="24"/>
          <w:lang w:val="kk-KZ"/>
        </w:rPr>
      </w:pPr>
      <w:r>
        <w:rPr>
          <w:i w:val="0"/>
          <w:sz w:val="24"/>
          <w:szCs w:val="24"/>
          <w:lang w:val="kk-KZ"/>
        </w:rPr>
        <w:t xml:space="preserve">Конкурсқа қатысу үшін қажетті құжаттар: </w:t>
      </w:r>
    </w:p>
    <w:p w:rsidR="004E3B60" w:rsidRDefault="004E3B60" w:rsidP="004E3B60">
      <w:pPr>
        <w:ind w:right="178" w:firstLine="709"/>
        <w:jc w:val="both"/>
        <w:rPr>
          <w:b w:val="0"/>
          <w:i w:val="0"/>
          <w:sz w:val="24"/>
          <w:szCs w:val="24"/>
          <w:lang w:val="kk-KZ"/>
        </w:rPr>
      </w:pPr>
      <w:r>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Pr>
          <w:b w:val="0"/>
          <w:i w:val="0"/>
          <w:sz w:val="24"/>
          <w:szCs w:val="24"/>
          <w:lang w:val="kk-KZ"/>
        </w:rPr>
        <w:t> </w:t>
      </w:r>
    </w:p>
    <w:p w:rsidR="004E3B60" w:rsidRDefault="004E3B60" w:rsidP="004E3B60">
      <w:pPr>
        <w:ind w:firstLine="708"/>
        <w:jc w:val="both"/>
        <w:rPr>
          <w:b w:val="0"/>
          <w:i w:val="0"/>
          <w:sz w:val="24"/>
          <w:szCs w:val="24"/>
          <w:lang w:val="kk-KZ"/>
        </w:rPr>
      </w:pPr>
      <w:r>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4E3B60" w:rsidRDefault="004E3B60" w:rsidP="004E3B60">
      <w:pPr>
        <w:ind w:firstLine="709"/>
        <w:jc w:val="both"/>
        <w:rPr>
          <w:b w:val="0"/>
          <w:i w:val="0"/>
          <w:color w:val="000000"/>
          <w:sz w:val="24"/>
          <w:szCs w:val="24"/>
          <w:lang w:val="kk-KZ"/>
        </w:rPr>
      </w:pPr>
      <w:r>
        <w:rPr>
          <w:b w:val="0"/>
          <w:i w:val="0"/>
          <w:color w:val="000000"/>
          <w:sz w:val="24"/>
          <w:szCs w:val="24"/>
          <w:lang w:val="kk-KZ"/>
        </w:rPr>
        <w:lastRenderedPageBreak/>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4E3B60" w:rsidRDefault="004E3B60" w:rsidP="004E3B60">
      <w:pPr>
        <w:pStyle w:val="ad"/>
        <w:spacing w:before="0" w:beforeAutospacing="0" w:after="0" w:afterAutospacing="0"/>
        <w:ind w:firstLine="709"/>
        <w:jc w:val="both"/>
        <w:rPr>
          <w:lang w:val="kk-KZ"/>
        </w:rPr>
      </w:pPr>
      <w:r>
        <w:rPr>
          <w:lang w:val="kk-KZ"/>
        </w:rPr>
        <w:t xml:space="preserve">Оларды бермеген жағдайда тұлға конкурс комиссиясымен әңгімелесуден өтуге жіберілмейді. </w:t>
      </w:r>
    </w:p>
    <w:p w:rsidR="004E3B60" w:rsidRDefault="004E3B60" w:rsidP="004E3B60">
      <w:pPr>
        <w:pStyle w:val="ad"/>
        <w:spacing w:before="0" w:beforeAutospacing="0" w:after="0" w:afterAutospacing="0"/>
        <w:ind w:firstLine="709"/>
        <w:jc w:val="both"/>
        <w:rPr>
          <w:lang w:val="kk-KZ"/>
        </w:rPr>
      </w:pPr>
      <w:r>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E3B60" w:rsidRDefault="004E3B60" w:rsidP="004E3B60">
      <w:pPr>
        <w:ind w:right="178" w:firstLine="709"/>
        <w:jc w:val="both"/>
        <w:rPr>
          <w:b w:val="0"/>
          <w:i w:val="0"/>
          <w:sz w:val="24"/>
          <w:szCs w:val="24"/>
          <w:lang w:val="kk-KZ"/>
        </w:rPr>
      </w:pPr>
      <w:r>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3B60" w:rsidRDefault="004E3B60" w:rsidP="004E3B60">
      <w:pPr>
        <w:ind w:left="5664"/>
        <w:jc w:val="both"/>
        <w:rPr>
          <w:b w:val="0"/>
          <w:bCs w:val="0"/>
          <w:i w:val="0"/>
          <w:iCs w:val="0"/>
          <w:color w:val="000000"/>
          <w:sz w:val="24"/>
          <w:szCs w:val="24"/>
          <w:lang w:val="kk-KZ"/>
        </w:rPr>
      </w:pPr>
    </w:p>
    <w:p w:rsidR="004E3B60" w:rsidRDefault="004E3B60" w:rsidP="004E3B60">
      <w:pPr>
        <w:ind w:left="5664"/>
        <w:jc w:val="both"/>
        <w:rPr>
          <w:b w:val="0"/>
          <w:bCs w:val="0"/>
          <w:i w:val="0"/>
          <w:iCs w:val="0"/>
          <w:color w:val="000000"/>
          <w:sz w:val="24"/>
          <w:szCs w:val="24"/>
          <w:lang w:val="kk-KZ"/>
        </w:rPr>
      </w:pPr>
      <w:r>
        <w:rPr>
          <w:b w:val="0"/>
          <w:bCs w:val="0"/>
          <w:i w:val="0"/>
          <w:iCs w:val="0"/>
          <w:color w:val="000000"/>
          <w:sz w:val="24"/>
          <w:szCs w:val="24"/>
          <w:lang w:val="kk-KZ"/>
        </w:rPr>
        <w:t xml:space="preserve"> </w:t>
      </w: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p w:rsidR="004E3B60" w:rsidRDefault="004E3B60" w:rsidP="000C6959">
      <w:pPr>
        <w:pStyle w:val="a4"/>
        <w:ind w:firstLine="284"/>
        <w:jc w:val="both"/>
        <w:rPr>
          <w:i w:val="0"/>
          <w:sz w:val="24"/>
          <w:szCs w:val="24"/>
          <w:lang w:val="kk-KZ"/>
        </w:rPr>
      </w:pPr>
    </w:p>
    <w:bookmarkEnd w:id="0"/>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r>
      <w:r w:rsidRPr="00C4172E">
        <w:rPr>
          <w:b w:val="0"/>
          <w:bCs w:val="0"/>
          <w:i w:val="0"/>
          <w:iCs w:val="0"/>
          <w:color w:val="000000"/>
          <w:sz w:val="24"/>
          <w:szCs w:val="24"/>
          <w:lang w:val="kk-KZ"/>
        </w:rPr>
        <w:lastRenderedPageBreak/>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C6959"/>
    <w:rsid w:val="000D2101"/>
    <w:rsid w:val="000E4988"/>
    <w:rsid w:val="001457FE"/>
    <w:rsid w:val="00176983"/>
    <w:rsid w:val="001A596B"/>
    <w:rsid w:val="001C02F6"/>
    <w:rsid w:val="001D1206"/>
    <w:rsid w:val="001D3DA9"/>
    <w:rsid w:val="001D49B5"/>
    <w:rsid w:val="002B3C49"/>
    <w:rsid w:val="002D464C"/>
    <w:rsid w:val="002E6A5C"/>
    <w:rsid w:val="00327B79"/>
    <w:rsid w:val="00364FE4"/>
    <w:rsid w:val="00390C1B"/>
    <w:rsid w:val="003D34F3"/>
    <w:rsid w:val="0042572B"/>
    <w:rsid w:val="00462671"/>
    <w:rsid w:val="004C0A2A"/>
    <w:rsid w:val="004C55B1"/>
    <w:rsid w:val="004D1F16"/>
    <w:rsid w:val="004E3B60"/>
    <w:rsid w:val="004F17E6"/>
    <w:rsid w:val="005335B4"/>
    <w:rsid w:val="005B022F"/>
    <w:rsid w:val="005F616A"/>
    <w:rsid w:val="00604C48"/>
    <w:rsid w:val="00620D84"/>
    <w:rsid w:val="00625689"/>
    <w:rsid w:val="0063112A"/>
    <w:rsid w:val="00642DA9"/>
    <w:rsid w:val="00657D8C"/>
    <w:rsid w:val="006627FB"/>
    <w:rsid w:val="006A32B5"/>
    <w:rsid w:val="006A36F6"/>
    <w:rsid w:val="006B6DD3"/>
    <w:rsid w:val="006C77F3"/>
    <w:rsid w:val="006D2046"/>
    <w:rsid w:val="00731F59"/>
    <w:rsid w:val="007400DE"/>
    <w:rsid w:val="00745DDA"/>
    <w:rsid w:val="007B39C6"/>
    <w:rsid w:val="0083632E"/>
    <w:rsid w:val="00845100"/>
    <w:rsid w:val="00881BD6"/>
    <w:rsid w:val="008B12EF"/>
    <w:rsid w:val="008B1D32"/>
    <w:rsid w:val="008D6D5D"/>
    <w:rsid w:val="008E21AA"/>
    <w:rsid w:val="008F4044"/>
    <w:rsid w:val="00923DEB"/>
    <w:rsid w:val="00943808"/>
    <w:rsid w:val="00951A2A"/>
    <w:rsid w:val="00961428"/>
    <w:rsid w:val="00976813"/>
    <w:rsid w:val="009848A4"/>
    <w:rsid w:val="00984ED5"/>
    <w:rsid w:val="009A7085"/>
    <w:rsid w:val="009C588D"/>
    <w:rsid w:val="009C72E6"/>
    <w:rsid w:val="009D78E4"/>
    <w:rsid w:val="009F3E3F"/>
    <w:rsid w:val="00A05B0F"/>
    <w:rsid w:val="00A467BA"/>
    <w:rsid w:val="00AC6D85"/>
    <w:rsid w:val="00B66A0C"/>
    <w:rsid w:val="00B704EB"/>
    <w:rsid w:val="00BB7FD4"/>
    <w:rsid w:val="00BE2669"/>
    <w:rsid w:val="00BE7235"/>
    <w:rsid w:val="00BF1606"/>
    <w:rsid w:val="00C07C63"/>
    <w:rsid w:val="00C4091B"/>
    <w:rsid w:val="00CA66D8"/>
    <w:rsid w:val="00CC314E"/>
    <w:rsid w:val="00CC73D9"/>
    <w:rsid w:val="00CF46DC"/>
    <w:rsid w:val="00CF7037"/>
    <w:rsid w:val="00D072C5"/>
    <w:rsid w:val="00D157DE"/>
    <w:rsid w:val="00D62E4F"/>
    <w:rsid w:val="00D71B8C"/>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E5A8B-1863-4C51-87D3-09E1081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uiPriority w:val="99"/>
    <w:qFormat/>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6207">
      <w:bodyDiv w:val="1"/>
      <w:marLeft w:val="0"/>
      <w:marRight w:val="0"/>
      <w:marTop w:val="0"/>
      <w:marBottom w:val="0"/>
      <w:divBdr>
        <w:top w:val="none" w:sz="0" w:space="0" w:color="auto"/>
        <w:left w:val="none" w:sz="0" w:space="0" w:color="auto"/>
        <w:bottom w:val="none" w:sz="0" w:space="0" w:color="auto"/>
        <w:right w:val="none" w:sz="0" w:space="0" w:color="auto"/>
      </w:divBdr>
    </w:div>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2037266982">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dugapbarova@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A0BC-C9E0-49E3-8C7F-4C995C1A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1574</Words>
  <Characters>8977</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54</cp:revision>
  <dcterms:created xsi:type="dcterms:W3CDTF">2017-06-21T14:19:00Z</dcterms:created>
  <dcterms:modified xsi:type="dcterms:W3CDTF">2019-06-06T11:37:00Z</dcterms:modified>
</cp:coreProperties>
</file>