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BF5D7E" w:rsidRDefault="00BF5D7E" w:rsidP="00BF5D7E">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BF5D7E" w:rsidRDefault="00BF5D7E" w:rsidP="00BF5D7E">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F5D7E" w:rsidRDefault="00BF5D7E" w:rsidP="00BF5D7E">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BF5D7E" w:rsidRDefault="00BF5D7E" w:rsidP="00BF5D7E">
      <w:pPr>
        <w:jc w:val="both"/>
        <w:rPr>
          <w:b w:val="0"/>
          <w:i w:val="0"/>
          <w:sz w:val="24"/>
          <w:szCs w:val="24"/>
        </w:rPr>
      </w:pPr>
      <w:r>
        <w:rPr>
          <w:b w:val="0"/>
          <w:i w:val="0"/>
          <w:color w:val="000000"/>
          <w:sz w:val="24"/>
          <w:szCs w:val="24"/>
        </w:rPr>
        <w:t>      опыт работы при наличии высшего образования не требуется.</w:t>
      </w:r>
    </w:p>
    <w:p w:rsidR="00BF5D7E" w:rsidRDefault="00BF5D7E" w:rsidP="00BF5D7E">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BF5D7E" w:rsidTr="007F01CE">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BF5D7E" w:rsidTr="007F01CE">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BF5D7E" w:rsidTr="007F01CE">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BF5D7E" w:rsidP="007F01CE">
            <w:pPr>
              <w:keepNext/>
              <w:keepLines/>
              <w:tabs>
                <w:tab w:val="left" w:pos="132"/>
                <w:tab w:val="left" w:pos="6663"/>
              </w:tabs>
              <w:spacing w:line="276" w:lineRule="auto"/>
              <w:ind w:right="99"/>
              <w:rPr>
                <w:i w:val="0"/>
                <w:color w:val="000000"/>
                <w:spacing w:val="-5"/>
                <w:sz w:val="24"/>
                <w:szCs w:val="24"/>
                <w:lang w:eastAsia="en-US"/>
              </w:rPr>
            </w:pPr>
            <w:r w:rsidRPr="000F61ED">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BF5D7E" w:rsidP="007F01CE">
            <w:pPr>
              <w:spacing w:line="276" w:lineRule="auto"/>
              <w:rPr>
                <w:bCs w:val="0"/>
                <w:i w:val="0"/>
                <w:color w:val="000000"/>
                <w:sz w:val="24"/>
                <w:szCs w:val="22"/>
                <w:lang w:val="be-BY"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vAlign w:val="center"/>
          </w:tcPr>
          <w:p w:rsidR="00BF5D7E" w:rsidRDefault="00BF5D7E" w:rsidP="007F01CE">
            <w:pPr>
              <w:spacing w:line="276" w:lineRule="auto"/>
              <w:rPr>
                <w:bCs w:val="0"/>
                <w:i w:val="0"/>
                <w:color w:val="000000"/>
                <w:sz w:val="24"/>
                <w:szCs w:val="22"/>
                <w:lang w:val="be-BY" w:eastAsia="en-US"/>
              </w:rPr>
            </w:pPr>
            <w:r>
              <w:rPr>
                <w:i w:val="0"/>
                <w:color w:val="000000"/>
                <w:spacing w:val="-5"/>
                <w:sz w:val="24"/>
                <w:szCs w:val="24"/>
                <w:lang w:eastAsia="en-US"/>
              </w:rPr>
              <w:t>99 106</w:t>
            </w:r>
          </w:p>
        </w:tc>
      </w:tr>
    </w:tbl>
    <w:p w:rsidR="00BF5D7E" w:rsidRDefault="00BF5D7E" w:rsidP="00BF5D7E">
      <w:pPr>
        <w:pStyle w:val="BodyText1"/>
        <w:keepNext/>
        <w:keepLines/>
        <w:ind w:right="99"/>
        <w:jc w:val="both"/>
        <w:rPr>
          <w:b/>
          <w:sz w:val="24"/>
          <w:szCs w:val="24"/>
        </w:rPr>
      </w:pPr>
    </w:p>
    <w:p w:rsidR="00BF5D7E" w:rsidRDefault="00BF5D7E" w:rsidP="00BF5D7E">
      <w:pPr>
        <w:pStyle w:val="BodyText1"/>
        <w:keepNext/>
        <w:keepLines/>
        <w:ind w:right="99"/>
        <w:jc w:val="both"/>
        <w:rPr>
          <w:b/>
          <w:sz w:val="24"/>
          <w:szCs w:val="24"/>
        </w:rPr>
      </w:pPr>
    </w:p>
    <w:p w:rsidR="004626AF" w:rsidRDefault="004626AF" w:rsidP="004626AF">
      <w:pPr>
        <w:pStyle w:val="Standard"/>
        <w:ind w:firstLine="708"/>
        <w:jc w:val="both"/>
        <w:rPr>
          <w:i w:val="0"/>
          <w:iCs w:val="0"/>
          <w:sz w:val="24"/>
          <w:szCs w:val="24"/>
          <w:lang w:val="kk-KZ"/>
        </w:rPr>
      </w:pPr>
      <w:r>
        <w:rPr>
          <w:i w:val="0"/>
          <w:iCs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fldChar w:fldCharType="begin"/>
      </w:r>
      <w:r>
        <w:instrText xml:space="preserve"> HYPERLINK "mailto:tls_nk@taxtaraz.mgd.kz" </w:instrText>
      </w:r>
      <w:r>
        <w:fldChar w:fldCharType="separate"/>
      </w:r>
      <w:r>
        <w:rPr>
          <w:rStyle w:val="ab"/>
          <w:i w:val="0"/>
          <w:color w:val="000000" w:themeColor="text1"/>
          <w:sz w:val="24"/>
          <w:szCs w:val="24"/>
          <w:lang w:val="kk-KZ"/>
        </w:rPr>
        <w:t>tls_nk@taxtaraz.mgd.kz</w:t>
      </w:r>
      <w:r>
        <w:fldChar w:fldCharType="end"/>
      </w:r>
      <w:r>
        <w:rPr>
          <w:i w:val="0"/>
          <w:color w:val="000000" w:themeColor="text1"/>
          <w:sz w:val="24"/>
          <w:szCs w:val="24"/>
          <w:lang w:val="kk-KZ"/>
        </w:rPr>
        <w:t>, zhasauova@taxtaraz.mgd.kz</w:t>
      </w:r>
      <w:r>
        <w:rPr>
          <w:i w:val="0"/>
          <w:iCs w:val="0"/>
          <w:sz w:val="24"/>
          <w:szCs w:val="24"/>
          <w:lang w:val="kk-KZ"/>
        </w:rPr>
        <w:t xml:space="preserve"> объявляет конкурс </w:t>
      </w:r>
      <w:r>
        <w:rPr>
          <w:i w:val="0"/>
          <w:color w:val="000000" w:themeColor="text1"/>
          <w:sz w:val="24"/>
          <w:szCs w:val="24"/>
          <w:lang w:val="kk-KZ"/>
        </w:rPr>
        <w:t>на занятие вакантных административных государственных должностей</w:t>
      </w:r>
      <w:r>
        <w:rPr>
          <w:i w:val="0"/>
          <w:iCs w:val="0"/>
          <w:sz w:val="24"/>
          <w:szCs w:val="24"/>
          <w:lang w:val="kk-KZ"/>
        </w:rPr>
        <w:t>:</w:t>
      </w:r>
      <w:r>
        <w:rPr>
          <w:i w:val="0"/>
          <w:sz w:val="24"/>
          <w:szCs w:val="24"/>
          <w:lang w:val="kk-KZ"/>
        </w:rPr>
        <w:t xml:space="preserve"> </w:t>
      </w:r>
    </w:p>
    <w:p w:rsidR="004626AF" w:rsidRPr="0029124E" w:rsidRDefault="00B17A81" w:rsidP="0029124E">
      <w:pPr>
        <w:pStyle w:val="a6"/>
        <w:ind w:firstLine="708"/>
        <w:jc w:val="both"/>
        <w:rPr>
          <w:i w:val="0"/>
          <w:sz w:val="24"/>
          <w:szCs w:val="24"/>
        </w:rPr>
      </w:pPr>
      <w:r>
        <w:rPr>
          <w:b w:val="0"/>
          <w:i w:val="0"/>
          <w:sz w:val="24"/>
          <w:szCs w:val="24"/>
          <w:lang w:val="kk-KZ"/>
        </w:rPr>
        <w:t>1</w:t>
      </w:r>
      <w:bookmarkStart w:id="0" w:name="_GoBack"/>
      <w:bookmarkEnd w:id="0"/>
      <w:r w:rsidR="004626AF" w:rsidRPr="0029124E">
        <w:rPr>
          <w:b w:val="0"/>
          <w:i w:val="0"/>
          <w:sz w:val="24"/>
          <w:szCs w:val="24"/>
          <w:lang w:val="kk-KZ"/>
        </w:rPr>
        <w:t xml:space="preserve">. </w:t>
      </w:r>
      <w:r w:rsidR="004626AF" w:rsidRPr="0029124E">
        <w:rPr>
          <w:i w:val="0"/>
          <w:sz w:val="24"/>
          <w:szCs w:val="24"/>
          <w:lang w:val="kk-KZ"/>
        </w:rPr>
        <w:t>Главный специалист отдела «Центр регистрации приема и обработки информации»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сотрудника до 16.04.2021 г), категория С-</w:t>
      </w:r>
      <w:r w:rsidR="004626AF" w:rsidRPr="0029124E">
        <w:rPr>
          <w:i w:val="0"/>
          <w:sz w:val="24"/>
          <w:szCs w:val="24"/>
          <w:lang w:val="en-US"/>
        </w:rPr>
        <w:t>R</w:t>
      </w:r>
      <w:r w:rsidR="004626AF" w:rsidRPr="0029124E">
        <w:rPr>
          <w:i w:val="0"/>
          <w:sz w:val="24"/>
          <w:szCs w:val="24"/>
        </w:rPr>
        <w:t xml:space="preserve">-4, </w:t>
      </w:r>
      <w:r w:rsidR="004626AF" w:rsidRPr="0029124E">
        <w:rPr>
          <w:i w:val="0"/>
          <w:sz w:val="24"/>
          <w:szCs w:val="24"/>
          <w:lang w:val="kk-KZ"/>
        </w:rPr>
        <w:t>1</w:t>
      </w:r>
      <w:r w:rsidR="004626AF" w:rsidRPr="0029124E">
        <w:rPr>
          <w:i w:val="0"/>
          <w:sz w:val="24"/>
          <w:szCs w:val="24"/>
        </w:rPr>
        <w:t xml:space="preserve"> единица, </w:t>
      </w:r>
      <w:r w:rsidR="004626AF" w:rsidRPr="0029124E">
        <w:rPr>
          <w:i w:val="0"/>
          <w:sz w:val="24"/>
          <w:szCs w:val="24"/>
          <w:lang w:val="kk-KZ"/>
        </w:rPr>
        <w:t xml:space="preserve">№02-2-3 </w:t>
      </w:r>
    </w:p>
    <w:p w:rsidR="004626AF" w:rsidRPr="0029124E" w:rsidRDefault="004626AF" w:rsidP="0029124E">
      <w:pPr>
        <w:pStyle w:val="a6"/>
        <w:jc w:val="both"/>
        <w:rPr>
          <w:b w:val="0"/>
          <w:i w:val="0"/>
          <w:sz w:val="24"/>
          <w:szCs w:val="24"/>
        </w:rPr>
      </w:pPr>
      <w:r w:rsidRPr="0029124E">
        <w:rPr>
          <w:i w:val="0"/>
          <w:sz w:val="24"/>
          <w:szCs w:val="24"/>
        </w:rPr>
        <w:t>Функциональные обязанности:</w:t>
      </w:r>
      <w:r w:rsidRPr="0029124E">
        <w:rPr>
          <w:b w:val="0"/>
          <w:i w:val="0"/>
          <w:sz w:val="24"/>
          <w:szCs w:val="24"/>
          <w:lang w:val="kk-KZ"/>
        </w:rPr>
        <w:t xml:space="preserve"> Проведение работы со стандартами </w:t>
      </w:r>
      <w:r w:rsidRPr="0029124E">
        <w:rPr>
          <w:b w:val="0"/>
          <w:i w:val="0"/>
          <w:sz w:val="24"/>
          <w:szCs w:val="24"/>
        </w:rPr>
        <w:t>обслуживания</w:t>
      </w:r>
      <w:r w:rsidRPr="0029124E">
        <w:rPr>
          <w:b w:val="0"/>
          <w:i w:val="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29124E">
        <w:rPr>
          <w:b w:val="0"/>
          <w:i w:val="0"/>
          <w:sz w:val="24"/>
          <w:szCs w:val="24"/>
        </w:rPr>
        <w:t>Одного окна</w:t>
      </w:r>
      <w:r w:rsidRPr="0029124E">
        <w:rPr>
          <w:b w:val="0"/>
          <w:i w:val="0"/>
          <w:sz w:val="24"/>
          <w:szCs w:val="24"/>
          <w:lang w:val="kk-KZ"/>
        </w:rPr>
        <w:t>»</w:t>
      </w:r>
      <w:r w:rsidRPr="0029124E">
        <w:rPr>
          <w:b w:val="0"/>
          <w:i w:val="0"/>
          <w:sz w:val="24"/>
          <w:szCs w:val="24"/>
        </w:rPr>
        <w:t xml:space="preserve">. </w:t>
      </w:r>
      <w:r w:rsidRPr="0029124E">
        <w:rPr>
          <w:b w:val="0"/>
          <w:i w:val="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4626AF" w:rsidRPr="0029124E" w:rsidRDefault="004626AF" w:rsidP="0029124E">
      <w:pPr>
        <w:pStyle w:val="a6"/>
        <w:jc w:val="both"/>
        <w:rPr>
          <w:b w:val="0"/>
          <w:i w:val="0"/>
          <w:sz w:val="24"/>
          <w:szCs w:val="24"/>
          <w:lang w:val="kk-KZ"/>
        </w:rPr>
      </w:pPr>
      <w:r w:rsidRPr="0029124E">
        <w:rPr>
          <w:b w:val="0"/>
          <w:i w:val="0"/>
          <w:color w:val="000000"/>
          <w:sz w:val="24"/>
          <w:szCs w:val="24"/>
          <w:lang w:val="kk-KZ"/>
        </w:rPr>
        <w:t xml:space="preserve">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w:t>
      </w:r>
      <w:r w:rsidRPr="0029124E">
        <w:rPr>
          <w:b w:val="0"/>
          <w:i w:val="0"/>
          <w:color w:val="000000"/>
          <w:sz w:val="24"/>
          <w:szCs w:val="24"/>
          <w:lang w:val="kk-KZ"/>
        </w:rPr>
        <w:lastRenderedPageBreak/>
        <w:t>приказов, распоряжений, нормативных и методических документов. 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4626AF" w:rsidRPr="0029124E" w:rsidRDefault="004626AF" w:rsidP="0029124E">
      <w:pPr>
        <w:pStyle w:val="a6"/>
        <w:jc w:val="both"/>
        <w:rPr>
          <w:i w:val="0"/>
          <w:sz w:val="24"/>
          <w:szCs w:val="24"/>
          <w:lang w:val="kk-KZ"/>
        </w:rPr>
      </w:pPr>
      <w:r w:rsidRPr="0029124E">
        <w:rPr>
          <w:rFonts w:eastAsia="Calibri"/>
          <w:i w:val="0"/>
          <w:sz w:val="24"/>
          <w:szCs w:val="24"/>
          <w:lang w:eastAsia="en-US"/>
        </w:rPr>
        <w:t>Требования</w:t>
      </w:r>
      <w:r w:rsidRPr="0029124E">
        <w:rPr>
          <w:rFonts w:eastAsia="Calibri"/>
          <w:i w:val="0"/>
          <w:sz w:val="24"/>
          <w:szCs w:val="24"/>
          <w:lang w:val="kk-KZ" w:eastAsia="en-US"/>
        </w:rPr>
        <w:t xml:space="preserve"> </w:t>
      </w:r>
      <w:r w:rsidRPr="0029124E">
        <w:rPr>
          <w:rFonts w:eastAsia="Calibri"/>
          <w:i w:val="0"/>
          <w:sz w:val="24"/>
          <w:szCs w:val="24"/>
          <w:lang w:eastAsia="en-US"/>
        </w:rPr>
        <w:t>к участникам конкурса:</w:t>
      </w:r>
      <w:r w:rsidRPr="0029124E">
        <w:rPr>
          <w:i w:val="0"/>
          <w:sz w:val="24"/>
          <w:szCs w:val="24"/>
          <w:lang w:val="kk-KZ"/>
        </w:rPr>
        <w:t xml:space="preserve"> </w:t>
      </w:r>
      <w:r w:rsidRPr="0029124E">
        <w:rPr>
          <w:i w:val="0"/>
          <w:sz w:val="24"/>
          <w:szCs w:val="24"/>
          <w:lang w:val="kk-KZ"/>
        </w:rPr>
        <w:tab/>
      </w:r>
    </w:p>
    <w:p w:rsidR="004626AF" w:rsidRPr="0029124E" w:rsidRDefault="004626AF" w:rsidP="0029124E">
      <w:pPr>
        <w:pStyle w:val="a6"/>
        <w:jc w:val="both"/>
        <w:rPr>
          <w:b w:val="0"/>
          <w:i w:val="0"/>
          <w:sz w:val="24"/>
          <w:szCs w:val="24"/>
          <w:lang w:val="kk-KZ"/>
        </w:rPr>
      </w:pPr>
      <w:r w:rsidRPr="0029124E">
        <w:rPr>
          <w:i w:val="0"/>
          <w:sz w:val="24"/>
          <w:szCs w:val="24"/>
          <w:lang w:val="kk-KZ"/>
        </w:rPr>
        <w:t>Образование:</w:t>
      </w:r>
      <w:r w:rsidRPr="0029124E">
        <w:rPr>
          <w:b w:val="0"/>
          <w:i w:val="0"/>
          <w:sz w:val="24"/>
          <w:szCs w:val="24"/>
          <w:lang w:val="kk-KZ"/>
        </w:rPr>
        <w:t xml:space="preserve"> в сфере социальных наук, экономики</w:t>
      </w:r>
      <w:r w:rsidRPr="0029124E">
        <w:rPr>
          <w:b w:val="0"/>
          <w:i w:val="0"/>
          <w:sz w:val="24"/>
          <w:szCs w:val="24"/>
        </w:rPr>
        <w:t xml:space="preserve"> и</w:t>
      </w:r>
      <w:r w:rsidRPr="0029124E">
        <w:rPr>
          <w:b w:val="0"/>
          <w:i w:val="0"/>
          <w:sz w:val="24"/>
          <w:szCs w:val="24"/>
          <w:lang w:val="kk-KZ"/>
        </w:rPr>
        <w:t xml:space="preserve"> бизнеса или в сфере права.</w:t>
      </w:r>
    </w:p>
    <w:p w:rsidR="004626AF" w:rsidRPr="0029124E" w:rsidRDefault="004626AF" w:rsidP="0029124E">
      <w:pPr>
        <w:pStyle w:val="a6"/>
        <w:jc w:val="both"/>
        <w:rPr>
          <w:b w:val="0"/>
          <w:i w:val="0"/>
          <w:sz w:val="24"/>
          <w:szCs w:val="24"/>
          <w:lang w:val="kk-KZ"/>
        </w:rPr>
      </w:pPr>
      <w:r w:rsidRPr="0029124E">
        <w:rPr>
          <w:i w:val="0"/>
          <w:sz w:val="24"/>
          <w:szCs w:val="24"/>
          <w:lang w:val="kk-KZ"/>
        </w:rPr>
        <w:t>Специальность:</w:t>
      </w:r>
      <w:r w:rsidRPr="0029124E">
        <w:rPr>
          <w:b w:val="0"/>
          <w:i w:val="0"/>
          <w:sz w:val="24"/>
          <w:szCs w:val="24"/>
          <w:lang w:val="kk-KZ"/>
        </w:rPr>
        <w:t xml:space="preserve"> Экономика или менеджмент или учет и аудит или финансы или государственное и местное управление или маркетинг или статистика или мировая экономика или общее право.</w:t>
      </w:r>
    </w:p>
    <w:p w:rsidR="004626AF" w:rsidRPr="0029124E" w:rsidRDefault="004626AF" w:rsidP="0029124E">
      <w:pPr>
        <w:pStyle w:val="a6"/>
        <w:jc w:val="both"/>
        <w:rPr>
          <w:b w:val="0"/>
          <w:i w:val="0"/>
          <w:sz w:val="24"/>
          <w:szCs w:val="24"/>
        </w:rPr>
      </w:pPr>
      <w:r w:rsidRPr="0029124E">
        <w:rPr>
          <w:b w:val="0"/>
          <w:i w:val="0"/>
          <w:sz w:val="24"/>
          <w:szCs w:val="24"/>
        </w:rPr>
        <w:t xml:space="preserve">Знание Стратегии «Казахстан - 2050», Кодексы РК «О налогах и других обязательных платежах в бюджет», Кодекс «Об административных правонарушениях РК», Закон «О Реабилитации </w:t>
      </w:r>
      <w:proofErr w:type="gramStart"/>
      <w:r w:rsidRPr="0029124E">
        <w:rPr>
          <w:b w:val="0"/>
          <w:i w:val="0"/>
          <w:sz w:val="24"/>
          <w:szCs w:val="24"/>
        </w:rPr>
        <w:t>и  банкротстве</w:t>
      </w:r>
      <w:proofErr w:type="gramEnd"/>
      <w:r w:rsidRPr="0029124E">
        <w:rPr>
          <w:b w:val="0"/>
          <w:i w:val="0"/>
          <w:sz w:val="24"/>
          <w:szCs w:val="24"/>
        </w:rPr>
        <w:t xml:space="preserve">»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4626AF" w:rsidRPr="0029124E" w:rsidRDefault="004626AF" w:rsidP="0029124E">
      <w:pPr>
        <w:pStyle w:val="a6"/>
        <w:jc w:val="both"/>
        <w:rPr>
          <w:b w:val="0"/>
          <w:i w:val="0"/>
          <w:sz w:val="24"/>
          <w:szCs w:val="24"/>
          <w:lang w:val="kk-KZ"/>
        </w:rPr>
      </w:pPr>
      <w:r w:rsidRPr="0029124E">
        <w:rPr>
          <w:b w:val="0"/>
          <w:i w:val="0"/>
          <w:sz w:val="24"/>
          <w:szCs w:val="24"/>
          <w:lang w:val="kk-KZ"/>
        </w:rPr>
        <w:t>В соответствии с квалификационным требованиям.</w:t>
      </w:r>
    </w:p>
    <w:p w:rsidR="004626AF" w:rsidRPr="0029124E" w:rsidRDefault="004626AF" w:rsidP="0029124E">
      <w:pPr>
        <w:pStyle w:val="a6"/>
        <w:jc w:val="both"/>
        <w:rPr>
          <w:b w:val="0"/>
          <w:i w:val="0"/>
          <w:sz w:val="24"/>
          <w:szCs w:val="24"/>
          <w:lang w:val="kk-KZ"/>
        </w:rPr>
      </w:pPr>
      <w:r w:rsidRPr="0029124E">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29124E">
        <w:rPr>
          <w:b w:val="0"/>
          <w:i w:val="0"/>
          <w:sz w:val="24"/>
          <w:szCs w:val="24"/>
        </w:rPr>
        <w:t>независимо  от</w:t>
      </w:r>
      <w:proofErr w:type="gramEnd"/>
      <w:r w:rsidRPr="0029124E">
        <w:rPr>
          <w:b w:val="0"/>
          <w:i w:val="0"/>
          <w:sz w:val="24"/>
          <w:szCs w:val="24"/>
        </w:rPr>
        <w:t xml:space="preserve"> форм собственности</w:t>
      </w:r>
      <w:r w:rsidRPr="0029124E">
        <w:rPr>
          <w:b w:val="0"/>
          <w:i w:val="0"/>
          <w:sz w:val="24"/>
          <w:szCs w:val="24"/>
          <w:lang w:val="kk-KZ"/>
        </w:rPr>
        <w:t>.</w:t>
      </w:r>
    </w:p>
    <w:p w:rsidR="004626AF" w:rsidRPr="0029124E" w:rsidRDefault="004626AF" w:rsidP="0029124E">
      <w:pPr>
        <w:pStyle w:val="a6"/>
        <w:jc w:val="both"/>
        <w:rPr>
          <w:b w:val="0"/>
          <w:i w:val="0"/>
          <w:sz w:val="24"/>
          <w:szCs w:val="24"/>
        </w:rPr>
      </w:pPr>
      <w:r w:rsidRPr="0029124E">
        <w:rPr>
          <w:b w:val="0"/>
          <w:i w:val="0"/>
          <w:sz w:val="24"/>
          <w:szCs w:val="24"/>
        </w:rPr>
        <w:t xml:space="preserve">Умение работать на компьютере со стандартным пакетом программ </w:t>
      </w:r>
      <w:r w:rsidRPr="0029124E">
        <w:rPr>
          <w:b w:val="0"/>
          <w:i w:val="0"/>
          <w:sz w:val="24"/>
          <w:szCs w:val="24"/>
          <w:lang w:val="en-US"/>
        </w:rPr>
        <w:t>MSWord</w:t>
      </w:r>
      <w:r w:rsidRPr="0029124E">
        <w:rPr>
          <w:b w:val="0"/>
          <w:i w:val="0"/>
          <w:sz w:val="24"/>
          <w:szCs w:val="24"/>
        </w:rPr>
        <w:t xml:space="preserve">, </w:t>
      </w:r>
      <w:proofErr w:type="spellStart"/>
      <w:r w:rsidRPr="0029124E">
        <w:rPr>
          <w:b w:val="0"/>
          <w:i w:val="0"/>
          <w:sz w:val="24"/>
          <w:szCs w:val="24"/>
          <w:lang w:val="en-US"/>
        </w:rPr>
        <w:t>MSExcel</w:t>
      </w:r>
      <w:proofErr w:type="spellEnd"/>
      <w:r w:rsidRPr="0029124E">
        <w:rPr>
          <w:b w:val="0"/>
          <w:i w:val="0"/>
          <w:sz w:val="24"/>
          <w:szCs w:val="24"/>
        </w:rPr>
        <w:t>, Интернет, Интернет-портал и ум</w:t>
      </w:r>
      <w:r w:rsidRPr="0029124E">
        <w:rPr>
          <w:b w:val="0"/>
          <w:i w:val="0"/>
          <w:sz w:val="24"/>
          <w:szCs w:val="24"/>
          <w:lang w:val="kk-KZ"/>
        </w:rPr>
        <w:t>е</w:t>
      </w:r>
      <w:proofErr w:type="spellStart"/>
      <w:r w:rsidRPr="0029124E">
        <w:rPr>
          <w:b w:val="0"/>
          <w:i w:val="0"/>
          <w:sz w:val="24"/>
          <w:szCs w:val="24"/>
        </w:rPr>
        <w:t>ние</w:t>
      </w:r>
      <w:proofErr w:type="spellEnd"/>
      <w:r w:rsidRPr="0029124E">
        <w:rPr>
          <w:b w:val="0"/>
          <w:i w:val="0"/>
          <w:sz w:val="24"/>
          <w:szCs w:val="24"/>
        </w:rPr>
        <w:t xml:space="preserve"> работать с электронной почтой.</w:t>
      </w:r>
    </w:p>
    <w:p w:rsidR="00B17A81" w:rsidRDefault="00B17A81" w:rsidP="001F155D">
      <w:pPr>
        <w:snapToGrid w:val="0"/>
        <w:ind w:firstLine="708"/>
        <w:jc w:val="both"/>
        <w:rPr>
          <w:b w:val="0"/>
          <w:i w:val="0"/>
          <w:sz w:val="24"/>
          <w:szCs w:val="24"/>
          <w:lang w:eastAsia="ko-KR"/>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r>
      <w:r w:rsidRPr="00A06A71">
        <w:rPr>
          <w:rFonts w:eastAsia="Consolas"/>
          <w:b w:val="0"/>
          <w:bCs w:val="0"/>
          <w:i w:val="0"/>
          <w:iCs w:val="0"/>
          <w:color w:val="000000"/>
          <w:lang w:eastAsia="en-US"/>
        </w:rPr>
        <w:lastRenderedPageBreak/>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C2F6B"/>
    <w:rsid w:val="000C40DB"/>
    <w:rsid w:val="000D404C"/>
    <w:rsid w:val="001311DD"/>
    <w:rsid w:val="001550FC"/>
    <w:rsid w:val="001626DE"/>
    <w:rsid w:val="001D54CC"/>
    <w:rsid w:val="001F155D"/>
    <w:rsid w:val="00205947"/>
    <w:rsid w:val="0022040C"/>
    <w:rsid w:val="002231B2"/>
    <w:rsid w:val="0022595B"/>
    <w:rsid w:val="0024145F"/>
    <w:rsid w:val="002667FB"/>
    <w:rsid w:val="00281F65"/>
    <w:rsid w:val="002839C2"/>
    <w:rsid w:val="00283AAF"/>
    <w:rsid w:val="0029124E"/>
    <w:rsid w:val="0029732E"/>
    <w:rsid w:val="002A7D59"/>
    <w:rsid w:val="002B61CE"/>
    <w:rsid w:val="002D10CC"/>
    <w:rsid w:val="003425F1"/>
    <w:rsid w:val="0039010F"/>
    <w:rsid w:val="003925C0"/>
    <w:rsid w:val="003A09D9"/>
    <w:rsid w:val="003B0690"/>
    <w:rsid w:val="004626AF"/>
    <w:rsid w:val="00480688"/>
    <w:rsid w:val="00490492"/>
    <w:rsid w:val="004B02F3"/>
    <w:rsid w:val="004B365C"/>
    <w:rsid w:val="004C6FE4"/>
    <w:rsid w:val="004F38A3"/>
    <w:rsid w:val="005255C5"/>
    <w:rsid w:val="00562DAF"/>
    <w:rsid w:val="005819C1"/>
    <w:rsid w:val="00594D46"/>
    <w:rsid w:val="0059712F"/>
    <w:rsid w:val="005A214A"/>
    <w:rsid w:val="005B303A"/>
    <w:rsid w:val="005B68A0"/>
    <w:rsid w:val="005C706C"/>
    <w:rsid w:val="005F616A"/>
    <w:rsid w:val="00626D5C"/>
    <w:rsid w:val="006601B3"/>
    <w:rsid w:val="0068727C"/>
    <w:rsid w:val="00694120"/>
    <w:rsid w:val="006C137A"/>
    <w:rsid w:val="006C3664"/>
    <w:rsid w:val="006D564E"/>
    <w:rsid w:val="006E6879"/>
    <w:rsid w:val="006F1BA0"/>
    <w:rsid w:val="00703AEC"/>
    <w:rsid w:val="007333E2"/>
    <w:rsid w:val="0077607D"/>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A3910"/>
    <w:rsid w:val="009C2B37"/>
    <w:rsid w:val="009C6B14"/>
    <w:rsid w:val="009E1E6C"/>
    <w:rsid w:val="00A20A94"/>
    <w:rsid w:val="00A20AA6"/>
    <w:rsid w:val="00A4585E"/>
    <w:rsid w:val="00A752BD"/>
    <w:rsid w:val="00A907AE"/>
    <w:rsid w:val="00AA624B"/>
    <w:rsid w:val="00AB5E9B"/>
    <w:rsid w:val="00AD45C0"/>
    <w:rsid w:val="00B17A81"/>
    <w:rsid w:val="00B92908"/>
    <w:rsid w:val="00B94164"/>
    <w:rsid w:val="00BA166A"/>
    <w:rsid w:val="00BB4565"/>
    <w:rsid w:val="00BE2669"/>
    <w:rsid w:val="00BE26A2"/>
    <w:rsid w:val="00BF485F"/>
    <w:rsid w:val="00BF5D7E"/>
    <w:rsid w:val="00C207B1"/>
    <w:rsid w:val="00C331EA"/>
    <w:rsid w:val="00C54700"/>
    <w:rsid w:val="00D514DF"/>
    <w:rsid w:val="00D759A6"/>
    <w:rsid w:val="00DA3445"/>
    <w:rsid w:val="00DB01C3"/>
    <w:rsid w:val="00DD1C61"/>
    <w:rsid w:val="00DD6457"/>
    <w:rsid w:val="00E42904"/>
    <w:rsid w:val="00EB1E4E"/>
    <w:rsid w:val="00ED559F"/>
    <w:rsid w:val="00EE7704"/>
    <w:rsid w:val="00EF2B75"/>
    <w:rsid w:val="00F13354"/>
    <w:rsid w:val="00F15C3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871112658">
      <w:bodyDiv w:val="1"/>
      <w:marLeft w:val="0"/>
      <w:marRight w:val="0"/>
      <w:marTop w:val="0"/>
      <w:marBottom w:val="0"/>
      <w:divBdr>
        <w:top w:val="none" w:sz="0" w:space="0" w:color="auto"/>
        <w:left w:val="none" w:sz="0" w:space="0" w:color="auto"/>
        <w:bottom w:val="none" w:sz="0" w:space="0" w:color="auto"/>
        <w:right w:val="none" w:sz="0" w:space="0" w:color="auto"/>
      </w:divBdr>
    </w:div>
    <w:div w:id="1372456666">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229B-EE97-4E40-A55E-8D7B56FB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50</cp:revision>
  <cp:lastPrinted>2017-11-01T06:10:00Z</cp:lastPrinted>
  <dcterms:created xsi:type="dcterms:W3CDTF">2017-06-21T14:27:00Z</dcterms:created>
  <dcterms:modified xsi:type="dcterms:W3CDTF">2018-07-05T04:08:00Z</dcterms:modified>
</cp:coreProperties>
</file>